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4247EF" w14:textId="77777777" w:rsidR="00DC536A" w:rsidRDefault="00DC536A" w:rsidP="00BB49AF">
      <w:pPr>
        <w:jc w:val="center"/>
        <w:outlineLvl w:val="0"/>
        <w:rPr>
          <w:b/>
        </w:rPr>
      </w:pPr>
      <w:r w:rsidRPr="00BC1180">
        <w:rPr>
          <w:b/>
        </w:rPr>
        <w:t>Introduction to European Studies</w:t>
      </w:r>
    </w:p>
    <w:p w14:paraId="3CA2CC8F" w14:textId="77777777" w:rsidR="009F3948" w:rsidRPr="00BC1180" w:rsidRDefault="009F3948" w:rsidP="00BB49AF">
      <w:pPr>
        <w:jc w:val="center"/>
        <w:outlineLvl w:val="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1440"/>
        <w:gridCol w:w="1260"/>
        <w:gridCol w:w="2340"/>
        <w:gridCol w:w="2880"/>
      </w:tblGrid>
      <w:tr w:rsidR="00DC536A" w14:paraId="665A42A6" w14:textId="77777777">
        <w:tc>
          <w:tcPr>
            <w:tcW w:w="1908" w:type="dxa"/>
          </w:tcPr>
          <w:p w14:paraId="4FCE9F19" w14:textId="77777777" w:rsidR="00DC536A" w:rsidRPr="00550368" w:rsidRDefault="00DC536A" w:rsidP="00DC536A">
            <w:pPr>
              <w:rPr>
                <w:sz w:val="22"/>
                <w:szCs w:val="22"/>
              </w:rPr>
            </w:pPr>
            <w:r w:rsidRPr="00550368">
              <w:rPr>
                <w:sz w:val="22"/>
                <w:szCs w:val="22"/>
              </w:rPr>
              <w:t>Instructor</w:t>
            </w:r>
          </w:p>
        </w:tc>
        <w:tc>
          <w:tcPr>
            <w:tcW w:w="1440" w:type="dxa"/>
          </w:tcPr>
          <w:p w14:paraId="44BA64EA" w14:textId="77777777" w:rsidR="00DC536A" w:rsidRPr="00550368" w:rsidRDefault="00DC536A" w:rsidP="00DC536A">
            <w:pPr>
              <w:rPr>
                <w:sz w:val="22"/>
                <w:szCs w:val="22"/>
              </w:rPr>
            </w:pPr>
            <w:r w:rsidRPr="00550368">
              <w:rPr>
                <w:sz w:val="22"/>
                <w:szCs w:val="22"/>
              </w:rPr>
              <w:t>Office</w:t>
            </w:r>
          </w:p>
        </w:tc>
        <w:tc>
          <w:tcPr>
            <w:tcW w:w="1260" w:type="dxa"/>
          </w:tcPr>
          <w:p w14:paraId="3DBE2EE3" w14:textId="77777777" w:rsidR="00DC536A" w:rsidRPr="00550368" w:rsidRDefault="00DC536A" w:rsidP="00DC536A">
            <w:pPr>
              <w:rPr>
                <w:sz w:val="22"/>
                <w:szCs w:val="22"/>
              </w:rPr>
            </w:pPr>
            <w:r w:rsidRPr="00550368">
              <w:rPr>
                <w:sz w:val="22"/>
                <w:szCs w:val="22"/>
              </w:rPr>
              <w:t>Phone</w:t>
            </w:r>
          </w:p>
        </w:tc>
        <w:tc>
          <w:tcPr>
            <w:tcW w:w="2340" w:type="dxa"/>
          </w:tcPr>
          <w:p w14:paraId="4419980D" w14:textId="1A902221" w:rsidR="00DC536A" w:rsidRPr="00550368" w:rsidRDefault="00D0388D" w:rsidP="00DC536A">
            <w:pPr>
              <w:rPr>
                <w:sz w:val="22"/>
                <w:szCs w:val="22"/>
              </w:rPr>
            </w:pPr>
            <w:r w:rsidRPr="00550368">
              <w:rPr>
                <w:sz w:val="22"/>
                <w:szCs w:val="22"/>
              </w:rPr>
              <w:t>E</w:t>
            </w:r>
            <w:r w:rsidR="00DC536A" w:rsidRPr="00550368">
              <w:rPr>
                <w:sz w:val="22"/>
                <w:szCs w:val="22"/>
              </w:rPr>
              <w:t>-mail</w:t>
            </w:r>
          </w:p>
        </w:tc>
        <w:tc>
          <w:tcPr>
            <w:tcW w:w="2880" w:type="dxa"/>
          </w:tcPr>
          <w:p w14:paraId="24EAFF8B" w14:textId="77777777" w:rsidR="00DC536A" w:rsidRPr="00550368" w:rsidRDefault="00DC536A" w:rsidP="00DC536A">
            <w:pPr>
              <w:rPr>
                <w:sz w:val="22"/>
                <w:szCs w:val="22"/>
              </w:rPr>
            </w:pPr>
            <w:r w:rsidRPr="00550368">
              <w:rPr>
                <w:sz w:val="22"/>
                <w:szCs w:val="22"/>
              </w:rPr>
              <w:t>Office Hours</w:t>
            </w:r>
          </w:p>
        </w:tc>
      </w:tr>
      <w:tr w:rsidR="00DC536A" w14:paraId="1A889B3E" w14:textId="77777777">
        <w:tc>
          <w:tcPr>
            <w:tcW w:w="1908" w:type="dxa"/>
          </w:tcPr>
          <w:p w14:paraId="2FBBBB43" w14:textId="77777777" w:rsidR="00DC536A" w:rsidRPr="00550368" w:rsidRDefault="00DC536A" w:rsidP="00DC536A">
            <w:pPr>
              <w:rPr>
                <w:sz w:val="22"/>
                <w:szCs w:val="22"/>
              </w:rPr>
            </w:pPr>
            <w:r w:rsidRPr="00550368">
              <w:rPr>
                <w:sz w:val="22"/>
                <w:szCs w:val="22"/>
              </w:rPr>
              <w:t xml:space="preserve">Dr. </w:t>
            </w:r>
            <w:proofErr w:type="spellStart"/>
            <w:r w:rsidRPr="00550368">
              <w:rPr>
                <w:sz w:val="22"/>
                <w:szCs w:val="22"/>
              </w:rPr>
              <w:t>Kees</w:t>
            </w:r>
            <w:proofErr w:type="spellEnd"/>
            <w:r w:rsidRPr="00550368">
              <w:rPr>
                <w:sz w:val="22"/>
                <w:szCs w:val="22"/>
              </w:rPr>
              <w:t xml:space="preserve"> Gispen</w:t>
            </w:r>
          </w:p>
        </w:tc>
        <w:tc>
          <w:tcPr>
            <w:tcW w:w="1440" w:type="dxa"/>
          </w:tcPr>
          <w:p w14:paraId="500BD4D4" w14:textId="64B7D5DE" w:rsidR="00DC536A" w:rsidRPr="00550368" w:rsidRDefault="00DC536A" w:rsidP="00DC536A">
            <w:pPr>
              <w:rPr>
                <w:sz w:val="22"/>
                <w:szCs w:val="22"/>
              </w:rPr>
            </w:pPr>
            <w:r w:rsidRPr="00550368">
              <w:rPr>
                <w:sz w:val="22"/>
                <w:szCs w:val="22"/>
              </w:rPr>
              <w:t>Croft 3</w:t>
            </w:r>
            <w:r w:rsidR="004818D1">
              <w:rPr>
                <w:sz w:val="22"/>
                <w:szCs w:val="22"/>
              </w:rPr>
              <w:t>20</w:t>
            </w:r>
          </w:p>
        </w:tc>
        <w:tc>
          <w:tcPr>
            <w:tcW w:w="1260" w:type="dxa"/>
          </w:tcPr>
          <w:p w14:paraId="70F09A89" w14:textId="77777777" w:rsidR="00DC536A" w:rsidRPr="00550368" w:rsidRDefault="00DC536A" w:rsidP="00DC536A">
            <w:pPr>
              <w:rPr>
                <w:sz w:val="22"/>
                <w:szCs w:val="22"/>
              </w:rPr>
            </w:pPr>
            <w:r w:rsidRPr="00550368">
              <w:rPr>
                <w:sz w:val="22"/>
                <w:szCs w:val="22"/>
              </w:rPr>
              <w:t>915-1500</w:t>
            </w:r>
          </w:p>
        </w:tc>
        <w:tc>
          <w:tcPr>
            <w:tcW w:w="2340" w:type="dxa"/>
          </w:tcPr>
          <w:p w14:paraId="59656B96" w14:textId="77777777" w:rsidR="00DC536A" w:rsidRPr="00550368" w:rsidRDefault="000364DA" w:rsidP="00DC536A">
            <w:pPr>
              <w:rPr>
                <w:color w:val="000000"/>
                <w:sz w:val="22"/>
                <w:szCs w:val="22"/>
              </w:rPr>
            </w:pPr>
            <w:hyperlink r:id="rId7" w:history="1">
              <w:r w:rsidR="00DC536A" w:rsidRPr="00550368">
                <w:rPr>
                  <w:rStyle w:val="Hyperlink"/>
                  <w:color w:val="000000"/>
                  <w:sz w:val="22"/>
                  <w:szCs w:val="22"/>
                  <w:u w:val="none"/>
                </w:rPr>
                <w:t>gispen@olemiss.edu</w:t>
              </w:r>
            </w:hyperlink>
          </w:p>
        </w:tc>
        <w:tc>
          <w:tcPr>
            <w:tcW w:w="2880" w:type="dxa"/>
          </w:tcPr>
          <w:p w14:paraId="22DD3009" w14:textId="77777777" w:rsidR="00DC536A" w:rsidRPr="00550368" w:rsidRDefault="00DC536A" w:rsidP="00DC536A">
            <w:pPr>
              <w:rPr>
                <w:sz w:val="22"/>
                <w:szCs w:val="22"/>
              </w:rPr>
            </w:pPr>
            <w:r w:rsidRPr="00550368">
              <w:rPr>
                <w:sz w:val="22"/>
                <w:szCs w:val="22"/>
              </w:rPr>
              <w:t>By appointment</w:t>
            </w:r>
          </w:p>
        </w:tc>
      </w:tr>
    </w:tbl>
    <w:p w14:paraId="002314AC" w14:textId="77777777" w:rsidR="00D0388D" w:rsidRDefault="00D0388D" w:rsidP="00FB47EF">
      <w:pPr>
        <w:rPr>
          <w:b/>
          <w:sz w:val="20"/>
          <w:szCs w:val="22"/>
        </w:rPr>
      </w:pPr>
    </w:p>
    <w:p w14:paraId="5515332C" w14:textId="13161111" w:rsidR="00FB47EF" w:rsidRPr="00BF5D55" w:rsidRDefault="00FB47EF" w:rsidP="00FB47EF">
      <w:pPr>
        <w:rPr>
          <w:sz w:val="21"/>
          <w:szCs w:val="21"/>
        </w:rPr>
      </w:pPr>
      <w:r w:rsidRPr="00BF5D55">
        <w:rPr>
          <w:b/>
          <w:sz w:val="21"/>
          <w:szCs w:val="21"/>
        </w:rPr>
        <w:t>Course Aims and Objectives</w:t>
      </w:r>
      <w:r w:rsidR="00CE2FC7" w:rsidRPr="00BF5D55">
        <w:rPr>
          <w:sz w:val="21"/>
          <w:szCs w:val="21"/>
        </w:rPr>
        <w:t xml:space="preserve">.  The broad </w:t>
      </w:r>
      <w:r w:rsidRPr="00BF5D55">
        <w:rPr>
          <w:sz w:val="21"/>
          <w:szCs w:val="21"/>
        </w:rPr>
        <w:t>aim</w:t>
      </w:r>
      <w:r w:rsidR="0079358E" w:rsidRPr="00BF5D55">
        <w:rPr>
          <w:sz w:val="21"/>
          <w:szCs w:val="21"/>
        </w:rPr>
        <w:t>s</w:t>
      </w:r>
      <w:r w:rsidRPr="00BF5D55">
        <w:rPr>
          <w:sz w:val="21"/>
          <w:szCs w:val="21"/>
        </w:rPr>
        <w:t xml:space="preserve"> of the course </w:t>
      </w:r>
      <w:r w:rsidR="0079358E" w:rsidRPr="00BF5D55">
        <w:rPr>
          <w:sz w:val="21"/>
          <w:szCs w:val="21"/>
        </w:rPr>
        <w:t>are</w:t>
      </w:r>
      <w:r w:rsidR="00D0388D" w:rsidRPr="00BF5D55">
        <w:rPr>
          <w:sz w:val="21"/>
          <w:szCs w:val="21"/>
        </w:rPr>
        <w:t xml:space="preserve"> </w:t>
      </w:r>
      <w:r w:rsidR="0079358E" w:rsidRPr="00BF5D55">
        <w:rPr>
          <w:sz w:val="21"/>
          <w:szCs w:val="21"/>
        </w:rPr>
        <w:t xml:space="preserve">(1) </w:t>
      </w:r>
      <w:r w:rsidRPr="00BF5D55">
        <w:rPr>
          <w:sz w:val="21"/>
          <w:szCs w:val="21"/>
        </w:rPr>
        <w:t xml:space="preserve">to acquaint students with European culture, politics, economics, and society </w:t>
      </w:r>
      <w:r w:rsidR="009355F2">
        <w:rPr>
          <w:sz w:val="21"/>
          <w:szCs w:val="21"/>
        </w:rPr>
        <w:t xml:space="preserve">in the twentieth century with special emphasis on the period </w:t>
      </w:r>
      <w:r w:rsidR="0079358E" w:rsidRPr="00BF5D55">
        <w:rPr>
          <w:sz w:val="21"/>
          <w:szCs w:val="21"/>
        </w:rPr>
        <w:t xml:space="preserve">since 1945; and (2) to </w:t>
      </w:r>
      <w:r w:rsidRPr="00BF5D55">
        <w:rPr>
          <w:sz w:val="21"/>
          <w:szCs w:val="21"/>
        </w:rPr>
        <w:t>improve stude</w:t>
      </w:r>
      <w:r w:rsidR="009355F2">
        <w:rPr>
          <w:sz w:val="21"/>
          <w:szCs w:val="21"/>
        </w:rPr>
        <w:t>nt writing.  Specific foci</w:t>
      </w:r>
      <w:r w:rsidRPr="00BF5D55">
        <w:rPr>
          <w:sz w:val="21"/>
          <w:szCs w:val="21"/>
        </w:rPr>
        <w:t xml:space="preserve"> include</w:t>
      </w:r>
      <w:r w:rsidR="00CE2FC7" w:rsidRPr="00BF5D55">
        <w:rPr>
          <w:sz w:val="21"/>
          <w:szCs w:val="21"/>
        </w:rPr>
        <w:t xml:space="preserve"> the rise and faltering of the Keynesian welfare state, </w:t>
      </w:r>
      <w:r w:rsidR="00FA12C9" w:rsidRPr="00BF5D55">
        <w:rPr>
          <w:sz w:val="21"/>
          <w:szCs w:val="21"/>
        </w:rPr>
        <w:t>the</w:t>
      </w:r>
      <w:r w:rsidR="00CE2FC7" w:rsidRPr="00BF5D55">
        <w:rPr>
          <w:sz w:val="21"/>
          <w:szCs w:val="21"/>
        </w:rPr>
        <w:t xml:space="preserve"> </w:t>
      </w:r>
      <w:r w:rsidRPr="00BF5D55">
        <w:rPr>
          <w:sz w:val="21"/>
          <w:szCs w:val="21"/>
        </w:rPr>
        <w:t>pre-1945 background</w:t>
      </w:r>
      <w:r w:rsidR="00AB343E" w:rsidRPr="00BF5D55">
        <w:rPr>
          <w:sz w:val="21"/>
          <w:szCs w:val="21"/>
        </w:rPr>
        <w:t xml:space="preserve"> of the welfare state</w:t>
      </w:r>
      <w:r w:rsidRPr="00BF5D55">
        <w:rPr>
          <w:sz w:val="21"/>
          <w:szCs w:val="21"/>
        </w:rPr>
        <w:t>, the impact of World War II, post-1945 political and economic institutions, cultural tr</w:t>
      </w:r>
      <w:r w:rsidR="00090603" w:rsidRPr="00BF5D55">
        <w:rPr>
          <w:sz w:val="21"/>
          <w:szCs w:val="21"/>
        </w:rPr>
        <w:t>ends,</w:t>
      </w:r>
      <w:r w:rsidR="00D0388D" w:rsidRPr="00BF5D55">
        <w:rPr>
          <w:sz w:val="21"/>
          <w:szCs w:val="21"/>
        </w:rPr>
        <w:t xml:space="preserve"> the end of communism</w:t>
      </w:r>
      <w:r w:rsidR="00FA12C9" w:rsidRPr="00BF5D55">
        <w:rPr>
          <w:sz w:val="21"/>
          <w:szCs w:val="21"/>
        </w:rPr>
        <w:t xml:space="preserve">, immigration, and </w:t>
      </w:r>
      <w:r w:rsidR="00AB343E" w:rsidRPr="00BF5D55">
        <w:rPr>
          <w:sz w:val="21"/>
          <w:szCs w:val="21"/>
        </w:rPr>
        <w:t>right-wing populism</w:t>
      </w:r>
      <w:r w:rsidR="00D0388D" w:rsidRPr="00BF5D55">
        <w:rPr>
          <w:sz w:val="21"/>
          <w:szCs w:val="21"/>
        </w:rPr>
        <w:t xml:space="preserve">.  Students will participate in lectures and discussion centered on </w:t>
      </w:r>
      <w:r w:rsidR="00090603" w:rsidRPr="00BF5D55">
        <w:rPr>
          <w:sz w:val="21"/>
          <w:szCs w:val="21"/>
        </w:rPr>
        <w:t>careful</w:t>
      </w:r>
      <w:r w:rsidRPr="00BF5D55">
        <w:rPr>
          <w:sz w:val="21"/>
          <w:szCs w:val="21"/>
        </w:rPr>
        <w:t xml:space="preserve"> reading and discussion of </w:t>
      </w:r>
      <w:r w:rsidR="00984C79" w:rsidRPr="00BF5D55">
        <w:rPr>
          <w:sz w:val="21"/>
          <w:szCs w:val="21"/>
        </w:rPr>
        <w:t xml:space="preserve">the assigned readings.  </w:t>
      </w:r>
      <w:r w:rsidRPr="00BF5D55">
        <w:rPr>
          <w:sz w:val="21"/>
          <w:szCs w:val="21"/>
        </w:rPr>
        <w:t>Upon completion of the course, students will be</w:t>
      </w:r>
      <w:r w:rsidR="0079358E" w:rsidRPr="00BF5D55">
        <w:rPr>
          <w:sz w:val="21"/>
          <w:szCs w:val="21"/>
        </w:rPr>
        <w:t xml:space="preserve"> </w:t>
      </w:r>
      <w:r w:rsidRPr="00BF5D55">
        <w:rPr>
          <w:sz w:val="21"/>
          <w:szCs w:val="21"/>
        </w:rPr>
        <w:t>familiar with the</w:t>
      </w:r>
      <w:r w:rsidR="0079358E" w:rsidRPr="00BF5D55">
        <w:rPr>
          <w:sz w:val="21"/>
          <w:szCs w:val="21"/>
        </w:rPr>
        <w:t xml:space="preserve"> contents of </w:t>
      </w:r>
      <w:r w:rsidR="00984C79" w:rsidRPr="00BF5D55">
        <w:rPr>
          <w:sz w:val="21"/>
          <w:szCs w:val="21"/>
        </w:rPr>
        <w:t>readings and</w:t>
      </w:r>
      <w:r w:rsidR="0079358E" w:rsidRPr="00BF5D55">
        <w:rPr>
          <w:sz w:val="21"/>
          <w:szCs w:val="21"/>
        </w:rPr>
        <w:t xml:space="preserve"> </w:t>
      </w:r>
      <w:r w:rsidRPr="00BF5D55">
        <w:rPr>
          <w:sz w:val="21"/>
          <w:szCs w:val="21"/>
        </w:rPr>
        <w:t xml:space="preserve">material covered in </w:t>
      </w:r>
      <w:r w:rsidR="0079358E" w:rsidRPr="00BF5D55">
        <w:rPr>
          <w:sz w:val="21"/>
          <w:szCs w:val="21"/>
        </w:rPr>
        <w:t>the lectures.  Students</w:t>
      </w:r>
      <w:r w:rsidR="00D0388D" w:rsidRPr="00BF5D55">
        <w:rPr>
          <w:sz w:val="21"/>
          <w:szCs w:val="21"/>
        </w:rPr>
        <w:t xml:space="preserve"> will have</w:t>
      </w:r>
      <w:r w:rsidRPr="00BF5D55">
        <w:rPr>
          <w:sz w:val="21"/>
          <w:szCs w:val="21"/>
        </w:rPr>
        <w:t xml:space="preserve"> improved critical reading, writing, and dis</w:t>
      </w:r>
      <w:r w:rsidR="00D0388D" w:rsidRPr="00BF5D55">
        <w:rPr>
          <w:sz w:val="21"/>
          <w:szCs w:val="21"/>
        </w:rPr>
        <w:t xml:space="preserve">cussion skills.  They will </w:t>
      </w:r>
      <w:r w:rsidRPr="00BF5D55">
        <w:rPr>
          <w:sz w:val="21"/>
          <w:szCs w:val="21"/>
        </w:rPr>
        <w:t>be conversant with the most important developments in Europe since World War II</w:t>
      </w:r>
      <w:r w:rsidR="009355F2">
        <w:rPr>
          <w:sz w:val="21"/>
          <w:szCs w:val="21"/>
        </w:rPr>
        <w:t xml:space="preserve"> and the context that gave rise to them</w:t>
      </w:r>
      <w:r w:rsidRPr="00BF5D55">
        <w:rPr>
          <w:sz w:val="21"/>
          <w:szCs w:val="21"/>
        </w:rPr>
        <w:t xml:space="preserve">. </w:t>
      </w:r>
    </w:p>
    <w:p w14:paraId="726BCB86" w14:textId="77777777" w:rsidR="00D0388D" w:rsidRPr="00BF5D55" w:rsidRDefault="00D0388D" w:rsidP="00BB49AF">
      <w:pPr>
        <w:outlineLvl w:val="0"/>
        <w:rPr>
          <w:b/>
          <w:sz w:val="21"/>
          <w:szCs w:val="21"/>
        </w:rPr>
      </w:pPr>
    </w:p>
    <w:p w14:paraId="0E8ADB58" w14:textId="77777777" w:rsidR="00DC536A" w:rsidRPr="00BF5D55" w:rsidRDefault="00DC536A" w:rsidP="00BB49AF">
      <w:pPr>
        <w:outlineLvl w:val="0"/>
        <w:rPr>
          <w:b/>
          <w:sz w:val="21"/>
          <w:szCs w:val="21"/>
        </w:rPr>
      </w:pPr>
      <w:r w:rsidRPr="00BF5D55">
        <w:rPr>
          <w:b/>
          <w:sz w:val="21"/>
          <w:szCs w:val="21"/>
        </w:rPr>
        <w:t>Readings:</w:t>
      </w:r>
    </w:p>
    <w:p w14:paraId="000D65DC" w14:textId="7173014F" w:rsidR="00DC536A" w:rsidRPr="00BF5D55" w:rsidRDefault="00DC536A">
      <w:pPr>
        <w:rPr>
          <w:i/>
          <w:sz w:val="21"/>
          <w:szCs w:val="21"/>
        </w:rPr>
      </w:pPr>
      <w:r w:rsidRPr="00BF5D55">
        <w:rPr>
          <w:sz w:val="21"/>
          <w:szCs w:val="21"/>
        </w:rPr>
        <w:t>Students should purchase the following</w:t>
      </w:r>
      <w:r w:rsidR="00984C79" w:rsidRPr="00BF5D55">
        <w:rPr>
          <w:sz w:val="21"/>
          <w:szCs w:val="21"/>
        </w:rPr>
        <w:t xml:space="preserve"> </w:t>
      </w:r>
      <w:r w:rsidRPr="00BF5D55">
        <w:rPr>
          <w:sz w:val="21"/>
          <w:szCs w:val="21"/>
        </w:rPr>
        <w:t>books:</w:t>
      </w:r>
      <w:r w:rsidR="00317E56" w:rsidRPr="00BF5D55">
        <w:rPr>
          <w:sz w:val="21"/>
          <w:szCs w:val="21"/>
        </w:rPr>
        <w:t xml:space="preserve"> Claire Beckett, </w:t>
      </w:r>
      <w:r w:rsidR="00CE2FC7" w:rsidRPr="00BF5D55">
        <w:rPr>
          <w:sz w:val="21"/>
          <w:szCs w:val="21"/>
        </w:rPr>
        <w:t>*</w:t>
      </w:r>
      <w:r w:rsidR="00317E56" w:rsidRPr="00BF5D55">
        <w:rPr>
          <w:i/>
          <w:sz w:val="21"/>
          <w:szCs w:val="21"/>
        </w:rPr>
        <w:t>Thatcher</w:t>
      </w:r>
      <w:r w:rsidR="00317E56" w:rsidRPr="00BF5D55">
        <w:rPr>
          <w:sz w:val="21"/>
          <w:szCs w:val="21"/>
        </w:rPr>
        <w:t xml:space="preserve"> (2006)</w:t>
      </w:r>
      <w:r w:rsidR="00562917" w:rsidRPr="00BF5D55">
        <w:rPr>
          <w:sz w:val="21"/>
          <w:szCs w:val="21"/>
        </w:rPr>
        <w:t xml:space="preserve">; </w:t>
      </w:r>
      <w:r w:rsidR="00FA12C9" w:rsidRPr="00BF5D55">
        <w:rPr>
          <w:sz w:val="21"/>
          <w:szCs w:val="21"/>
        </w:rPr>
        <w:t xml:space="preserve">Ian </w:t>
      </w:r>
      <w:proofErr w:type="spellStart"/>
      <w:r w:rsidR="00FA12C9" w:rsidRPr="00BF5D55">
        <w:rPr>
          <w:sz w:val="21"/>
          <w:szCs w:val="21"/>
        </w:rPr>
        <w:t>Buruma</w:t>
      </w:r>
      <w:proofErr w:type="spellEnd"/>
      <w:r w:rsidR="00FA12C9" w:rsidRPr="00BF5D55">
        <w:rPr>
          <w:sz w:val="21"/>
          <w:szCs w:val="21"/>
        </w:rPr>
        <w:t xml:space="preserve">: </w:t>
      </w:r>
      <w:r w:rsidR="00FA12C9" w:rsidRPr="00BF5D55">
        <w:rPr>
          <w:i/>
          <w:sz w:val="21"/>
          <w:szCs w:val="21"/>
        </w:rPr>
        <w:t xml:space="preserve">Year Zero: A History of 1945* (2013); </w:t>
      </w:r>
      <w:r w:rsidR="00FA12C9" w:rsidRPr="00BF5D55">
        <w:rPr>
          <w:sz w:val="21"/>
          <w:szCs w:val="21"/>
        </w:rPr>
        <w:t>William Hitchcock, *</w:t>
      </w:r>
      <w:r w:rsidR="00FA12C9" w:rsidRPr="00BF5D55">
        <w:rPr>
          <w:i/>
          <w:sz w:val="21"/>
          <w:szCs w:val="21"/>
        </w:rPr>
        <w:t>The Struggle for Europe: The Turbulent History of a Divided Continent 1945-2002</w:t>
      </w:r>
      <w:r w:rsidR="00FA12C9" w:rsidRPr="00BF5D55">
        <w:rPr>
          <w:sz w:val="21"/>
          <w:szCs w:val="21"/>
        </w:rPr>
        <w:t xml:space="preserve"> (2003); Mary Elise </w:t>
      </w:r>
      <w:proofErr w:type="spellStart"/>
      <w:r w:rsidR="00FA12C9" w:rsidRPr="00BF5D55">
        <w:rPr>
          <w:sz w:val="21"/>
          <w:szCs w:val="21"/>
        </w:rPr>
        <w:t>Sarotte</w:t>
      </w:r>
      <w:proofErr w:type="spellEnd"/>
      <w:r w:rsidR="00FA12C9" w:rsidRPr="00BF5D55">
        <w:rPr>
          <w:sz w:val="21"/>
          <w:szCs w:val="21"/>
        </w:rPr>
        <w:t>, *</w:t>
      </w:r>
      <w:r w:rsidR="00FA12C9" w:rsidRPr="00BF5D55">
        <w:rPr>
          <w:i/>
          <w:sz w:val="21"/>
          <w:szCs w:val="21"/>
        </w:rPr>
        <w:t>The Collapse: The Accidental Opening of the Berlin Wall</w:t>
      </w:r>
      <w:r w:rsidR="00FA12C9" w:rsidRPr="00BF5D55">
        <w:rPr>
          <w:sz w:val="21"/>
          <w:szCs w:val="21"/>
        </w:rPr>
        <w:t xml:space="preserve"> (2014); </w:t>
      </w:r>
      <w:r w:rsidR="00E15D94">
        <w:rPr>
          <w:sz w:val="21"/>
          <w:szCs w:val="21"/>
        </w:rPr>
        <w:t xml:space="preserve">James J. Sheehan, </w:t>
      </w:r>
      <w:r w:rsidR="00E15D94" w:rsidRPr="00E67363">
        <w:rPr>
          <w:i/>
          <w:sz w:val="21"/>
          <w:szCs w:val="21"/>
        </w:rPr>
        <w:t>Whe</w:t>
      </w:r>
      <w:r w:rsidR="00E67363">
        <w:rPr>
          <w:i/>
          <w:sz w:val="21"/>
          <w:szCs w:val="21"/>
        </w:rPr>
        <w:t xml:space="preserve">re Have All the Soldiers Gone: </w:t>
      </w:r>
      <w:r w:rsidR="00E15D94" w:rsidRPr="00E67363">
        <w:rPr>
          <w:i/>
          <w:sz w:val="21"/>
          <w:szCs w:val="21"/>
        </w:rPr>
        <w:t xml:space="preserve">The </w:t>
      </w:r>
      <w:r w:rsidR="00AA03BB" w:rsidRPr="00E67363">
        <w:rPr>
          <w:i/>
          <w:sz w:val="21"/>
          <w:szCs w:val="21"/>
        </w:rPr>
        <w:t>Transformation</w:t>
      </w:r>
      <w:r w:rsidR="00E15D94" w:rsidRPr="00E67363">
        <w:rPr>
          <w:i/>
          <w:sz w:val="21"/>
          <w:szCs w:val="21"/>
        </w:rPr>
        <w:t xml:space="preserve"> of </w:t>
      </w:r>
      <w:r w:rsidR="00AA03BB" w:rsidRPr="00E67363">
        <w:rPr>
          <w:i/>
          <w:sz w:val="21"/>
          <w:szCs w:val="21"/>
        </w:rPr>
        <w:t>Modern</w:t>
      </w:r>
      <w:r w:rsidR="00E15D94" w:rsidRPr="00E67363">
        <w:rPr>
          <w:i/>
          <w:sz w:val="21"/>
          <w:szCs w:val="21"/>
        </w:rPr>
        <w:t xml:space="preserve"> Europe</w:t>
      </w:r>
      <w:r w:rsidR="00AA03BB" w:rsidRPr="00E67363">
        <w:rPr>
          <w:i/>
          <w:sz w:val="21"/>
          <w:szCs w:val="21"/>
        </w:rPr>
        <w:t xml:space="preserve"> (2008)</w:t>
      </w:r>
      <w:r w:rsidR="00E15D94">
        <w:rPr>
          <w:sz w:val="21"/>
          <w:szCs w:val="21"/>
        </w:rPr>
        <w:t xml:space="preserve">. </w:t>
      </w:r>
      <w:r w:rsidR="00A11B5D" w:rsidRPr="00BF5D55">
        <w:rPr>
          <w:sz w:val="21"/>
          <w:szCs w:val="21"/>
        </w:rPr>
        <w:t>Please note that titles marked with an asterisk (*) are available in electroni</w:t>
      </w:r>
      <w:r w:rsidR="00CE2FC7" w:rsidRPr="00BF5D55">
        <w:rPr>
          <w:sz w:val="21"/>
          <w:szCs w:val="21"/>
        </w:rPr>
        <w:t>c form (Kindle, iTunes</w:t>
      </w:r>
      <w:r w:rsidR="00A11B5D" w:rsidRPr="00BF5D55">
        <w:rPr>
          <w:sz w:val="21"/>
          <w:szCs w:val="21"/>
        </w:rPr>
        <w:t>) for substantial discounts.  You are welcome to</w:t>
      </w:r>
      <w:r w:rsidR="00CE2FC7" w:rsidRPr="00BF5D55">
        <w:rPr>
          <w:sz w:val="21"/>
          <w:szCs w:val="21"/>
        </w:rPr>
        <w:t xml:space="preserve"> purchase these titles in electronic</w:t>
      </w:r>
      <w:r w:rsidR="00A11B5D" w:rsidRPr="00BF5D55">
        <w:rPr>
          <w:sz w:val="21"/>
          <w:szCs w:val="21"/>
        </w:rPr>
        <w:t xml:space="preserve"> format</w:t>
      </w:r>
      <w:r w:rsidR="007E4290" w:rsidRPr="00BF5D55">
        <w:rPr>
          <w:sz w:val="21"/>
          <w:szCs w:val="21"/>
        </w:rPr>
        <w:t xml:space="preserve">. Some are also available as </w:t>
      </w:r>
      <w:r w:rsidR="00FA12C9" w:rsidRPr="00BF5D55">
        <w:rPr>
          <w:sz w:val="21"/>
          <w:szCs w:val="21"/>
        </w:rPr>
        <w:t>used</w:t>
      </w:r>
      <w:r w:rsidR="007E4290" w:rsidRPr="00BF5D55">
        <w:rPr>
          <w:sz w:val="21"/>
          <w:szCs w:val="21"/>
        </w:rPr>
        <w:t xml:space="preserve"> books.  </w:t>
      </w:r>
      <w:r w:rsidR="00395393" w:rsidRPr="00BF5D55">
        <w:rPr>
          <w:sz w:val="21"/>
          <w:szCs w:val="21"/>
        </w:rPr>
        <w:t>O</w:t>
      </w:r>
      <w:r w:rsidR="007E4290" w:rsidRPr="00BF5D55">
        <w:rPr>
          <w:sz w:val="21"/>
          <w:szCs w:val="21"/>
        </w:rPr>
        <w:t xml:space="preserve">ther readings will be </w:t>
      </w:r>
      <w:r w:rsidR="0002012B" w:rsidRPr="00BF5D55">
        <w:rPr>
          <w:sz w:val="21"/>
          <w:szCs w:val="21"/>
        </w:rPr>
        <w:t>posted on Blackboard.</w:t>
      </w:r>
    </w:p>
    <w:p w14:paraId="1D0966D1" w14:textId="77777777" w:rsidR="00615045" w:rsidRPr="00BF5D55" w:rsidRDefault="00615045">
      <w:pPr>
        <w:rPr>
          <w:sz w:val="21"/>
          <w:szCs w:val="21"/>
        </w:rPr>
      </w:pPr>
    </w:p>
    <w:p w14:paraId="0CBA14C1" w14:textId="109EA2E4" w:rsidR="00DC536A" w:rsidRPr="00BF5D55" w:rsidRDefault="00DC536A" w:rsidP="00BB49AF">
      <w:pPr>
        <w:outlineLvl w:val="0"/>
        <w:rPr>
          <w:sz w:val="21"/>
          <w:szCs w:val="21"/>
        </w:rPr>
      </w:pPr>
      <w:r w:rsidRPr="00BF5D55">
        <w:rPr>
          <w:b/>
          <w:sz w:val="21"/>
          <w:szCs w:val="21"/>
        </w:rPr>
        <w:t>Course format, requirements, grading system</w:t>
      </w:r>
      <w:r w:rsidR="00FB47EF" w:rsidRPr="00BF5D55">
        <w:rPr>
          <w:b/>
          <w:sz w:val="21"/>
          <w:szCs w:val="21"/>
        </w:rPr>
        <w:t>, papers</w:t>
      </w:r>
      <w:r w:rsidRPr="00BF5D55">
        <w:rPr>
          <w:sz w:val="21"/>
          <w:szCs w:val="21"/>
        </w:rPr>
        <w:t>:</w:t>
      </w:r>
    </w:p>
    <w:p w14:paraId="20F4A507" w14:textId="4052FC2C" w:rsidR="00BC7185" w:rsidRPr="00BF5D55" w:rsidRDefault="00DC536A">
      <w:pPr>
        <w:rPr>
          <w:sz w:val="21"/>
          <w:szCs w:val="21"/>
        </w:rPr>
      </w:pPr>
      <w:r w:rsidRPr="00BF5D55">
        <w:rPr>
          <w:sz w:val="21"/>
          <w:szCs w:val="21"/>
        </w:rPr>
        <w:t xml:space="preserve">The </w:t>
      </w:r>
      <w:r w:rsidR="0002012B" w:rsidRPr="00BF5D55">
        <w:rPr>
          <w:sz w:val="21"/>
          <w:szCs w:val="21"/>
        </w:rPr>
        <w:t>course will be conducted as a mixtur</w:t>
      </w:r>
      <w:r w:rsidR="00984C79" w:rsidRPr="00BF5D55">
        <w:rPr>
          <w:sz w:val="21"/>
          <w:szCs w:val="21"/>
        </w:rPr>
        <w:t>e of lectures and discussions, with the preponderance of discussion taking place on Thursdays.  Weekly</w:t>
      </w:r>
      <w:r w:rsidR="005C52E6" w:rsidRPr="00BF5D55">
        <w:rPr>
          <w:sz w:val="21"/>
          <w:szCs w:val="21"/>
        </w:rPr>
        <w:t xml:space="preserve"> r</w:t>
      </w:r>
      <w:r w:rsidR="00BC7185" w:rsidRPr="00BF5D55">
        <w:rPr>
          <w:sz w:val="21"/>
          <w:szCs w:val="21"/>
        </w:rPr>
        <w:t xml:space="preserve">eading assignments should </w:t>
      </w:r>
      <w:r w:rsidR="00984C79" w:rsidRPr="00BF5D55">
        <w:rPr>
          <w:sz w:val="21"/>
          <w:szCs w:val="21"/>
        </w:rPr>
        <w:t xml:space="preserve">therefore </w:t>
      </w:r>
      <w:r w:rsidR="00BC7185" w:rsidRPr="00BF5D55">
        <w:rPr>
          <w:sz w:val="21"/>
          <w:szCs w:val="21"/>
        </w:rPr>
        <w:t xml:space="preserve">be completed prior </w:t>
      </w:r>
      <w:r w:rsidR="00C10425" w:rsidRPr="00BF5D55">
        <w:rPr>
          <w:sz w:val="21"/>
          <w:szCs w:val="21"/>
        </w:rPr>
        <w:t xml:space="preserve">to the Thursday class meeting. </w:t>
      </w:r>
      <w:r w:rsidR="004D7499" w:rsidRPr="00BF5D55">
        <w:rPr>
          <w:sz w:val="21"/>
          <w:szCs w:val="21"/>
        </w:rPr>
        <w:t xml:space="preserve">Please </w:t>
      </w:r>
      <w:r w:rsidR="00BC7185" w:rsidRPr="00BF5D55">
        <w:rPr>
          <w:sz w:val="21"/>
          <w:szCs w:val="21"/>
        </w:rPr>
        <w:t xml:space="preserve">start </w:t>
      </w:r>
      <w:r w:rsidR="00F40652" w:rsidRPr="00BF5D55">
        <w:rPr>
          <w:sz w:val="21"/>
          <w:szCs w:val="21"/>
        </w:rPr>
        <w:t xml:space="preserve">reading </w:t>
      </w:r>
      <w:r w:rsidR="00C10425" w:rsidRPr="00BF5D55">
        <w:rPr>
          <w:sz w:val="21"/>
          <w:szCs w:val="21"/>
        </w:rPr>
        <w:t>the assigned chapters</w:t>
      </w:r>
      <w:r w:rsidR="005C52E6" w:rsidRPr="00BF5D55">
        <w:rPr>
          <w:sz w:val="21"/>
          <w:szCs w:val="21"/>
        </w:rPr>
        <w:t xml:space="preserve"> as early as the wee</w:t>
      </w:r>
      <w:r w:rsidR="00125DE7" w:rsidRPr="00BF5D55">
        <w:rPr>
          <w:sz w:val="21"/>
          <w:szCs w:val="21"/>
        </w:rPr>
        <w:t xml:space="preserve">kend before the Thursday class.  </w:t>
      </w:r>
      <w:r w:rsidR="005C52E6" w:rsidRPr="00BF5D55">
        <w:rPr>
          <w:sz w:val="21"/>
          <w:szCs w:val="21"/>
        </w:rPr>
        <w:t>Be sur</w:t>
      </w:r>
      <w:r w:rsidR="00C10425" w:rsidRPr="00BF5D55">
        <w:rPr>
          <w:sz w:val="21"/>
          <w:szCs w:val="21"/>
        </w:rPr>
        <w:t>e to take notes on your reading to help you memorize and understand the material.</w:t>
      </w:r>
      <w:r w:rsidR="00F95439" w:rsidRPr="00BF5D55">
        <w:rPr>
          <w:sz w:val="21"/>
          <w:szCs w:val="21"/>
        </w:rPr>
        <w:t xml:space="preserve">  Whenever possible, I will provide some written questions to guide your reading.</w:t>
      </w:r>
    </w:p>
    <w:p w14:paraId="2DFECE84" w14:textId="77777777" w:rsidR="00BC7185" w:rsidRPr="00BF5D55" w:rsidRDefault="00BC7185">
      <w:pPr>
        <w:rPr>
          <w:sz w:val="21"/>
          <w:szCs w:val="21"/>
        </w:rPr>
      </w:pPr>
    </w:p>
    <w:p w14:paraId="2F8C2E81" w14:textId="675DAE54" w:rsidR="005128B3" w:rsidRPr="00BF5D55" w:rsidRDefault="00806BB0" w:rsidP="00BF5D55">
      <w:pPr>
        <w:pStyle w:val="ListParagraph"/>
        <w:numPr>
          <w:ilvl w:val="0"/>
          <w:numId w:val="3"/>
        </w:numPr>
        <w:rPr>
          <w:sz w:val="21"/>
          <w:szCs w:val="21"/>
        </w:rPr>
      </w:pPr>
      <w:r w:rsidRPr="00BF5D55">
        <w:rPr>
          <w:i/>
          <w:sz w:val="21"/>
          <w:szCs w:val="21"/>
        </w:rPr>
        <w:t>Gra</w:t>
      </w:r>
      <w:r w:rsidR="00AC2A6D" w:rsidRPr="00BF5D55">
        <w:rPr>
          <w:i/>
          <w:sz w:val="21"/>
          <w:szCs w:val="21"/>
        </w:rPr>
        <w:t>ding</w:t>
      </w:r>
      <w:r w:rsidR="00125DE7" w:rsidRPr="00BF5D55">
        <w:rPr>
          <w:i/>
          <w:sz w:val="21"/>
          <w:szCs w:val="21"/>
        </w:rPr>
        <w:t xml:space="preserve"> in the course</w:t>
      </w:r>
      <w:r w:rsidR="00B21594" w:rsidRPr="00BF5D55">
        <w:rPr>
          <w:sz w:val="21"/>
          <w:szCs w:val="21"/>
        </w:rPr>
        <w:t xml:space="preserve"> is based on two</w:t>
      </w:r>
      <w:r w:rsidR="00AC2A6D" w:rsidRPr="00BF5D55">
        <w:rPr>
          <w:sz w:val="21"/>
          <w:szCs w:val="21"/>
        </w:rPr>
        <w:t xml:space="preserve"> in-class </w:t>
      </w:r>
      <w:r w:rsidRPr="00BF5D55">
        <w:rPr>
          <w:sz w:val="21"/>
          <w:szCs w:val="21"/>
        </w:rPr>
        <w:t>quizzes</w:t>
      </w:r>
      <w:r w:rsidR="00B21594" w:rsidRPr="00BF5D55">
        <w:rPr>
          <w:sz w:val="21"/>
          <w:szCs w:val="21"/>
        </w:rPr>
        <w:t xml:space="preserve"> (5% each), two</w:t>
      </w:r>
      <w:r w:rsidR="00F40652" w:rsidRPr="00BF5D55">
        <w:rPr>
          <w:sz w:val="21"/>
          <w:szCs w:val="21"/>
        </w:rPr>
        <w:t xml:space="preserve"> </w:t>
      </w:r>
      <w:r w:rsidRPr="00BF5D55">
        <w:rPr>
          <w:sz w:val="21"/>
          <w:szCs w:val="21"/>
        </w:rPr>
        <w:t>papers</w:t>
      </w:r>
      <w:r w:rsidR="00B21594" w:rsidRPr="00BF5D55">
        <w:rPr>
          <w:sz w:val="21"/>
          <w:szCs w:val="21"/>
        </w:rPr>
        <w:t xml:space="preserve"> (15</w:t>
      </w:r>
      <w:r w:rsidR="00F40652" w:rsidRPr="00BF5D55">
        <w:rPr>
          <w:sz w:val="21"/>
          <w:szCs w:val="21"/>
        </w:rPr>
        <w:t>% each)</w:t>
      </w:r>
      <w:r w:rsidRPr="00BF5D55">
        <w:rPr>
          <w:sz w:val="21"/>
          <w:szCs w:val="21"/>
        </w:rPr>
        <w:t xml:space="preserve">, </w:t>
      </w:r>
      <w:r w:rsidR="00B21594" w:rsidRPr="00BF5D55">
        <w:rPr>
          <w:sz w:val="21"/>
          <w:szCs w:val="21"/>
        </w:rPr>
        <w:t xml:space="preserve">a midterm examination (20%), a final examination (30%), and </w:t>
      </w:r>
      <w:r w:rsidRPr="00BF5D55">
        <w:rPr>
          <w:sz w:val="21"/>
          <w:szCs w:val="21"/>
        </w:rPr>
        <w:t>class participation</w:t>
      </w:r>
      <w:r w:rsidR="00B21594" w:rsidRPr="00BF5D55">
        <w:rPr>
          <w:sz w:val="21"/>
          <w:szCs w:val="21"/>
        </w:rPr>
        <w:t xml:space="preserve"> (10%).</w:t>
      </w:r>
    </w:p>
    <w:p w14:paraId="3C0D0814" w14:textId="2074EB59" w:rsidR="005128B3" w:rsidRPr="00BF5D55" w:rsidRDefault="00D0388D" w:rsidP="00BF5D55">
      <w:pPr>
        <w:pStyle w:val="ListParagraph"/>
        <w:numPr>
          <w:ilvl w:val="0"/>
          <w:numId w:val="3"/>
        </w:numPr>
        <w:rPr>
          <w:sz w:val="21"/>
          <w:szCs w:val="21"/>
        </w:rPr>
      </w:pPr>
      <w:r w:rsidRPr="00BF5D55">
        <w:rPr>
          <w:i/>
          <w:sz w:val="21"/>
          <w:szCs w:val="21"/>
        </w:rPr>
        <w:t>Quizzes</w:t>
      </w:r>
      <w:r w:rsidRPr="00BF5D55">
        <w:rPr>
          <w:sz w:val="21"/>
          <w:szCs w:val="21"/>
        </w:rPr>
        <w:t xml:space="preserve"> may be </w:t>
      </w:r>
      <w:r w:rsidR="00C10425" w:rsidRPr="00BF5D55">
        <w:rPr>
          <w:sz w:val="21"/>
          <w:szCs w:val="21"/>
        </w:rPr>
        <w:t xml:space="preserve">multiple-choice, </w:t>
      </w:r>
      <w:r w:rsidR="00F40652" w:rsidRPr="00BF5D55">
        <w:rPr>
          <w:sz w:val="21"/>
          <w:szCs w:val="21"/>
        </w:rPr>
        <w:t>fill-in-the-blank</w:t>
      </w:r>
      <w:r w:rsidRPr="00BF5D55">
        <w:rPr>
          <w:sz w:val="21"/>
          <w:szCs w:val="21"/>
        </w:rPr>
        <w:t>, and</w:t>
      </w:r>
      <w:r w:rsidR="00C10425" w:rsidRPr="00BF5D55">
        <w:rPr>
          <w:sz w:val="21"/>
          <w:szCs w:val="21"/>
        </w:rPr>
        <w:t xml:space="preserve"> micro-essay</w:t>
      </w:r>
      <w:r w:rsidR="00F40652" w:rsidRPr="00BF5D55">
        <w:rPr>
          <w:sz w:val="21"/>
          <w:szCs w:val="21"/>
        </w:rPr>
        <w:t xml:space="preserve"> format. </w:t>
      </w:r>
    </w:p>
    <w:p w14:paraId="20BA658C" w14:textId="5ABCC089" w:rsidR="005128B3" w:rsidRPr="00BF5D55" w:rsidRDefault="005128B3" w:rsidP="00BF5D55">
      <w:pPr>
        <w:pStyle w:val="ListParagraph"/>
        <w:numPr>
          <w:ilvl w:val="0"/>
          <w:numId w:val="3"/>
        </w:numPr>
        <w:rPr>
          <w:sz w:val="21"/>
          <w:szCs w:val="21"/>
        </w:rPr>
      </w:pPr>
      <w:r w:rsidRPr="00BF5D55">
        <w:rPr>
          <w:i/>
          <w:sz w:val="21"/>
          <w:szCs w:val="21"/>
        </w:rPr>
        <w:t>Papers</w:t>
      </w:r>
      <w:r w:rsidR="00B21594" w:rsidRPr="00BF5D55">
        <w:rPr>
          <w:sz w:val="21"/>
          <w:szCs w:val="21"/>
        </w:rPr>
        <w:t xml:space="preserve"> should be 1250-1500</w:t>
      </w:r>
      <w:r w:rsidRPr="00BF5D55">
        <w:rPr>
          <w:sz w:val="21"/>
          <w:szCs w:val="21"/>
        </w:rPr>
        <w:t xml:space="preserve"> words</w:t>
      </w:r>
      <w:r w:rsidR="00125DE7" w:rsidRPr="00BF5D55">
        <w:rPr>
          <w:sz w:val="21"/>
          <w:szCs w:val="21"/>
        </w:rPr>
        <w:t xml:space="preserve"> each</w:t>
      </w:r>
      <w:r w:rsidRPr="00BF5D55">
        <w:rPr>
          <w:sz w:val="21"/>
          <w:szCs w:val="21"/>
        </w:rPr>
        <w:t xml:space="preserve">.  All papers should have (1) a header showing your name, the course number and section, the instructor’s name, the semester taken, </w:t>
      </w:r>
      <w:r w:rsidR="00B21594" w:rsidRPr="00BF5D55">
        <w:rPr>
          <w:sz w:val="21"/>
          <w:szCs w:val="21"/>
        </w:rPr>
        <w:t xml:space="preserve">and the date of submission; </w:t>
      </w:r>
      <w:r w:rsidRPr="00BF5D55">
        <w:rPr>
          <w:sz w:val="21"/>
          <w:szCs w:val="21"/>
        </w:rPr>
        <w:t>(2) a title; (3) one-inch margins all the way around; (4) double-spacing, and (5) acceptable font and point size (I recommend Time</w:t>
      </w:r>
      <w:r w:rsidR="00B21594" w:rsidRPr="00BF5D55">
        <w:rPr>
          <w:sz w:val="21"/>
          <w:szCs w:val="21"/>
        </w:rPr>
        <w:t>s New Roman in 12 point). P</w:t>
      </w:r>
      <w:r w:rsidRPr="00BF5D55">
        <w:rPr>
          <w:sz w:val="21"/>
          <w:szCs w:val="21"/>
        </w:rPr>
        <w:t>aper</w:t>
      </w:r>
      <w:r w:rsidR="00B21594" w:rsidRPr="00BF5D55">
        <w:rPr>
          <w:sz w:val="21"/>
          <w:szCs w:val="21"/>
        </w:rPr>
        <w:t>s</w:t>
      </w:r>
      <w:r w:rsidRPr="00BF5D55">
        <w:rPr>
          <w:sz w:val="21"/>
          <w:szCs w:val="21"/>
        </w:rPr>
        <w:t xml:space="preserve"> formatted according </w:t>
      </w:r>
      <w:r w:rsidR="00B21594" w:rsidRPr="00BF5D55">
        <w:rPr>
          <w:sz w:val="21"/>
          <w:szCs w:val="21"/>
        </w:rPr>
        <w:t>to the guidelines will be 5-6</w:t>
      </w:r>
      <w:r w:rsidRPr="00BF5D55">
        <w:rPr>
          <w:sz w:val="21"/>
          <w:szCs w:val="21"/>
        </w:rPr>
        <w:t xml:space="preserve"> pages in length.  You should acquaint yourself with the citation format for notes and bibliography described in Kate L. </w:t>
      </w:r>
      <w:proofErr w:type="spellStart"/>
      <w:r w:rsidRPr="00BF5D55">
        <w:rPr>
          <w:sz w:val="21"/>
          <w:szCs w:val="21"/>
        </w:rPr>
        <w:t>Turabian</w:t>
      </w:r>
      <w:proofErr w:type="spellEnd"/>
      <w:r w:rsidRPr="00BF5D55">
        <w:rPr>
          <w:sz w:val="21"/>
          <w:szCs w:val="21"/>
        </w:rPr>
        <w:t xml:space="preserve">, </w:t>
      </w:r>
      <w:r w:rsidRPr="00BF5D55">
        <w:rPr>
          <w:i/>
          <w:sz w:val="21"/>
          <w:szCs w:val="21"/>
        </w:rPr>
        <w:t>A Manual for Writers of Term Papers, Theses and Dissertations</w:t>
      </w:r>
      <w:r w:rsidRPr="00BF5D55">
        <w:rPr>
          <w:sz w:val="21"/>
          <w:szCs w:val="21"/>
        </w:rPr>
        <w:t xml:space="preserve"> (</w:t>
      </w:r>
      <w:r w:rsidR="00AD0121">
        <w:rPr>
          <w:sz w:val="21"/>
          <w:szCs w:val="21"/>
        </w:rPr>
        <w:t>8</w:t>
      </w:r>
      <w:r w:rsidRPr="00BF5D55">
        <w:rPr>
          <w:sz w:val="21"/>
          <w:szCs w:val="21"/>
          <w:vertAlign w:val="superscript"/>
        </w:rPr>
        <w:t>th</w:t>
      </w:r>
      <w:r w:rsidRPr="00BF5D55">
        <w:rPr>
          <w:sz w:val="21"/>
          <w:szCs w:val="21"/>
        </w:rPr>
        <w:t xml:space="preserve"> edition), available from on-line bookstores for </w:t>
      </w:r>
      <w:r w:rsidR="00CE2FC7" w:rsidRPr="00BF5D55">
        <w:rPr>
          <w:sz w:val="21"/>
          <w:szCs w:val="21"/>
        </w:rPr>
        <w:t xml:space="preserve">approximately </w:t>
      </w:r>
      <w:r w:rsidR="00B83E99">
        <w:rPr>
          <w:sz w:val="21"/>
          <w:szCs w:val="21"/>
        </w:rPr>
        <w:t>$12</w:t>
      </w:r>
      <w:r w:rsidRPr="00BF5D55">
        <w:rPr>
          <w:sz w:val="21"/>
          <w:szCs w:val="21"/>
        </w:rPr>
        <w:t>.00.</w:t>
      </w:r>
      <w:r w:rsidR="004D7499" w:rsidRPr="00BF5D55">
        <w:rPr>
          <w:sz w:val="21"/>
          <w:szCs w:val="21"/>
        </w:rPr>
        <w:t xml:space="preserve"> </w:t>
      </w:r>
      <w:r w:rsidR="004D69C6">
        <w:rPr>
          <w:sz w:val="21"/>
          <w:szCs w:val="21"/>
        </w:rPr>
        <w:t xml:space="preserve"> All papers must include a statement concerning the authenticity of authorship</w:t>
      </w:r>
      <w:r w:rsidR="00F1660F">
        <w:rPr>
          <w:sz w:val="21"/>
          <w:szCs w:val="21"/>
        </w:rPr>
        <w:t xml:space="preserve">, which </w:t>
      </w:r>
      <w:r w:rsidR="009F3948">
        <w:rPr>
          <w:sz w:val="21"/>
          <w:szCs w:val="21"/>
        </w:rPr>
        <w:t>is shown on page 4 of this syllabus</w:t>
      </w:r>
      <w:r w:rsidR="004D69C6">
        <w:rPr>
          <w:sz w:val="21"/>
          <w:szCs w:val="21"/>
        </w:rPr>
        <w:t>.</w:t>
      </w:r>
    </w:p>
    <w:p w14:paraId="037743E3" w14:textId="53C3724A" w:rsidR="00125DE7" w:rsidRPr="00BF5D55" w:rsidRDefault="00DC536A" w:rsidP="00BF5D55">
      <w:pPr>
        <w:pStyle w:val="ListParagraph"/>
        <w:numPr>
          <w:ilvl w:val="0"/>
          <w:numId w:val="3"/>
        </w:numPr>
        <w:rPr>
          <w:sz w:val="21"/>
          <w:szCs w:val="21"/>
        </w:rPr>
      </w:pPr>
      <w:r w:rsidRPr="00BF5D55">
        <w:rPr>
          <w:i/>
          <w:sz w:val="21"/>
          <w:szCs w:val="21"/>
        </w:rPr>
        <w:t>Grading scale</w:t>
      </w:r>
      <w:r w:rsidR="00B21594" w:rsidRPr="00BF5D55">
        <w:rPr>
          <w:sz w:val="21"/>
          <w:szCs w:val="21"/>
        </w:rPr>
        <w:t>: A: 93-100, A-: 90-92, B+ 87-89, B: 83-86, B-: 80-82</w:t>
      </w:r>
      <w:r w:rsidRPr="00BF5D55">
        <w:rPr>
          <w:sz w:val="21"/>
          <w:szCs w:val="21"/>
        </w:rPr>
        <w:t>, C+</w:t>
      </w:r>
      <w:r w:rsidR="00B21594" w:rsidRPr="00BF5D55">
        <w:rPr>
          <w:sz w:val="21"/>
          <w:szCs w:val="21"/>
        </w:rPr>
        <w:t>: 77-79, C: 73-76, C-: 70-72</w:t>
      </w:r>
      <w:r w:rsidR="005C52E6" w:rsidRPr="00BF5D55">
        <w:rPr>
          <w:sz w:val="21"/>
          <w:szCs w:val="21"/>
        </w:rPr>
        <w:t xml:space="preserve">, D: 60-69, F: 59-0.  </w:t>
      </w:r>
      <w:r w:rsidR="00F64B3E" w:rsidRPr="00BF5D55">
        <w:rPr>
          <w:sz w:val="21"/>
          <w:szCs w:val="21"/>
        </w:rPr>
        <w:t>Pleas</w:t>
      </w:r>
      <w:r w:rsidR="005A4BBA" w:rsidRPr="00BF5D55">
        <w:rPr>
          <w:sz w:val="21"/>
          <w:szCs w:val="21"/>
        </w:rPr>
        <w:t>e note that you must get a C (73</w:t>
      </w:r>
      <w:r w:rsidR="00F64B3E" w:rsidRPr="00BF5D55">
        <w:rPr>
          <w:sz w:val="21"/>
          <w:szCs w:val="21"/>
        </w:rPr>
        <w:t xml:space="preserve"> or higher) to pass this course fo</w:t>
      </w:r>
      <w:r w:rsidR="005A4BBA" w:rsidRPr="00BF5D55">
        <w:rPr>
          <w:sz w:val="21"/>
          <w:szCs w:val="21"/>
        </w:rPr>
        <w:t>r credit toward the international studies</w:t>
      </w:r>
      <w:r w:rsidR="005128B3" w:rsidRPr="00BF5D55">
        <w:rPr>
          <w:sz w:val="21"/>
          <w:szCs w:val="21"/>
        </w:rPr>
        <w:t xml:space="preserve"> major. </w:t>
      </w:r>
      <w:r w:rsidR="00125DE7" w:rsidRPr="00BF5D55">
        <w:rPr>
          <w:sz w:val="21"/>
          <w:szCs w:val="21"/>
        </w:rPr>
        <w:t>Any grade lower than a B is an indication that you should make adjustments to improve the quality of your work.</w:t>
      </w:r>
      <w:r w:rsidR="005128B3" w:rsidRPr="00BF5D55">
        <w:rPr>
          <w:sz w:val="21"/>
          <w:szCs w:val="21"/>
        </w:rPr>
        <w:t xml:space="preserve"> </w:t>
      </w:r>
      <w:r w:rsidR="004D7499" w:rsidRPr="00BF5D55">
        <w:rPr>
          <w:sz w:val="21"/>
          <w:szCs w:val="21"/>
        </w:rPr>
        <w:t>A grade of C- is not sufficient to pass the course for credit in the international studies major.</w:t>
      </w:r>
    </w:p>
    <w:p w14:paraId="75A029C2" w14:textId="34C3099D" w:rsidR="005C52E6" w:rsidRPr="00BF5D55" w:rsidRDefault="00125DE7" w:rsidP="00BF5D55">
      <w:pPr>
        <w:pStyle w:val="ListParagraph"/>
        <w:numPr>
          <w:ilvl w:val="0"/>
          <w:numId w:val="3"/>
        </w:numPr>
        <w:rPr>
          <w:sz w:val="21"/>
          <w:szCs w:val="21"/>
        </w:rPr>
      </w:pPr>
      <w:r w:rsidRPr="00BF5D55">
        <w:rPr>
          <w:i/>
          <w:sz w:val="21"/>
          <w:szCs w:val="21"/>
        </w:rPr>
        <w:t>Cell phone use, texting, Inte</w:t>
      </w:r>
      <w:r w:rsidR="004D7499" w:rsidRPr="00BF5D55">
        <w:rPr>
          <w:i/>
          <w:sz w:val="21"/>
          <w:szCs w:val="21"/>
        </w:rPr>
        <w:t>rnet browsing, etc</w:t>
      </w:r>
      <w:r w:rsidR="004D7499" w:rsidRPr="00BF5D55">
        <w:rPr>
          <w:sz w:val="21"/>
          <w:szCs w:val="21"/>
        </w:rPr>
        <w:t xml:space="preserve">. </w:t>
      </w:r>
      <w:r w:rsidR="00F95439" w:rsidRPr="00BF5D55">
        <w:rPr>
          <w:sz w:val="21"/>
          <w:szCs w:val="21"/>
        </w:rPr>
        <w:t>d</w:t>
      </w:r>
      <w:r w:rsidR="00B93100">
        <w:rPr>
          <w:sz w:val="21"/>
          <w:szCs w:val="21"/>
        </w:rPr>
        <w:t xml:space="preserve">uring class is </w:t>
      </w:r>
      <w:r w:rsidR="004D7499" w:rsidRPr="00BF5D55">
        <w:rPr>
          <w:sz w:val="21"/>
          <w:szCs w:val="21"/>
        </w:rPr>
        <w:t>not allowed</w:t>
      </w:r>
      <w:r w:rsidRPr="00BF5D55">
        <w:rPr>
          <w:sz w:val="21"/>
          <w:szCs w:val="21"/>
        </w:rPr>
        <w:t>.  L</w:t>
      </w:r>
      <w:r w:rsidR="0002012B" w:rsidRPr="00BF5D55">
        <w:rPr>
          <w:sz w:val="21"/>
          <w:szCs w:val="21"/>
        </w:rPr>
        <w:t>apt</w:t>
      </w:r>
      <w:r w:rsidR="005C52E6" w:rsidRPr="00BF5D55">
        <w:rPr>
          <w:sz w:val="21"/>
          <w:szCs w:val="21"/>
        </w:rPr>
        <w:t xml:space="preserve">ops </w:t>
      </w:r>
      <w:r w:rsidR="00F95439" w:rsidRPr="00BF5D55">
        <w:rPr>
          <w:sz w:val="21"/>
          <w:szCs w:val="21"/>
        </w:rPr>
        <w:t xml:space="preserve">or tablets </w:t>
      </w:r>
      <w:r w:rsidR="005C52E6" w:rsidRPr="00BF5D55">
        <w:rPr>
          <w:sz w:val="21"/>
          <w:szCs w:val="21"/>
        </w:rPr>
        <w:t>may be used for note taking on</w:t>
      </w:r>
      <w:r w:rsidR="00F64B3E" w:rsidRPr="00BF5D55">
        <w:rPr>
          <w:sz w:val="21"/>
          <w:szCs w:val="21"/>
        </w:rPr>
        <w:t xml:space="preserve">ly, unless directed otherwise by the instructor. </w:t>
      </w:r>
    </w:p>
    <w:p w14:paraId="2DBACF5A" w14:textId="14A435EA" w:rsidR="00C10425" w:rsidRPr="00BF5D55" w:rsidRDefault="005128B3" w:rsidP="00BF5D55">
      <w:pPr>
        <w:pStyle w:val="ListParagraph"/>
        <w:numPr>
          <w:ilvl w:val="0"/>
          <w:numId w:val="3"/>
        </w:numPr>
        <w:rPr>
          <w:sz w:val="21"/>
          <w:szCs w:val="21"/>
        </w:rPr>
      </w:pPr>
      <w:r w:rsidRPr="00BF5D55">
        <w:rPr>
          <w:i/>
          <w:sz w:val="21"/>
          <w:szCs w:val="21"/>
        </w:rPr>
        <w:t>Extra credit</w:t>
      </w:r>
      <w:r w:rsidRPr="00BF5D55">
        <w:rPr>
          <w:sz w:val="21"/>
          <w:szCs w:val="21"/>
        </w:rPr>
        <w:t>.  Students can earn extra credit by attending, an</w:t>
      </w:r>
      <w:r w:rsidR="00125DE7" w:rsidRPr="00BF5D55">
        <w:rPr>
          <w:sz w:val="21"/>
          <w:szCs w:val="21"/>
        </w:rPr>
        <w:t>d writing a short paper (400-450</w:t>
      </w:r>
      <w:r w:rsidRPr="00BF5D55">
        <w:rPr>
          <w:sz w:val="21"/>
          <w:szCs w:val="21"/>
        </w:rPr>
        <w:t xml:space="preserve"> words) about the films that accompany the course.  Details about the films and </w:t>
      </w:r>
      <w:r w:rsidR="00F1660F">
        <w:rPr>
          <w:sz w:val="21"/>
          <w:szCs w:val="21"/>
        </w:rPr>
        <w:t xml:space="preserve">a precise </w:t>
      </w:r>
      <w:r w:rsidRPr="00BF5D55">
        <w:rPr>
          <w:sz w:val="21"/>
          <w:szCs w:val="21"/>
        </w:rPr>
        <w:t xml:space="preserve">film schedule will be announced later.  </w:t>
      </w:r>
    </w:p>
    <w:p w14:paraId="3EF2D6AE" w14:textId="77777777" w:rsidR="002E458D" w:rsidRPr="00BF5D55" w:rsidRDefault="002E458D" w:rsidP="004D69C6">
      <w:pPr>
        <w:rPr>
          <w:sz w:val="21"/>
          <w:szCs w:val="21"/>
        </w:rPr>
      </w:pPr>
    </w:p>
    <w:p w14:paraId="334B3C3E" w14:textId="77777777" w:rsidR="005128B3" w:rsidRPr="00BF5D55" w:rsidRDefault="005128B3" w:rsidP="005128B3">
      <w:pPr>
        <w:rPr>
          <w:sz w:val="21"/>
          <w:szCs w:val="21"/>
        </w:rPr>
      </w:pPr>
      <w:r w:rsidRPr="00BF5D55">
        <w:rPr>
          <w:sz w:val="21"/>
          <w:szCs w:val="21"/>
        </w:rPr>
        <w:t>Please see reverse for the schedule of readings, quizzes, paper due dates, and the final examination.</w:t>
      </w:r>
    </w:p>
    <w:p w14:paraId="6852E7E5" w14:textId="77777777" w:rsidR="005128B3" w:rsidRPr="00BF5D55" w:rsidRDefault="005128B3" w:rsidP="005128B3">
      <w:pPr>
        <w:rPr>
          <w:sz w:val="21"/>
          <w:szCs w:val="21"/>
        </w:rPr>
      </w:pPr>
    </w:p>
    <w:p w14:paraId="697E8977" w14:textId="77777777" w:rsidR="002E458D" w:rsidRPr="002C16C0" w:rsidRDefault="002E458D" w:rsidP="00902B4E">
      <w:pPr>
        <w:rPr>
          <w:sz w:val="20"/>
        </w:rPr>
      </w:pPr>
    </w:p>
    <w:tbl>
      <w:tblPr>
        <w:tblW w:w="10350" w:type="dxa"/>
        <w:tblInd w:w="-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1005"/>
        <w:gridCol w:w="8640"/>
      </w:tblGrid>
      <w:tr w:rsidR="003A3A18" w:rsidRPr="00325DCB" w14:paraId="6C766922" w14:textId="77777777" w:rsidTr="003A3A18">
        <w:tc>
          <w:tcPr>
            <w:tcW w:w="705" w:type="dxa"/>
            <w:tcBorders>
              <w:bottom w:val="single" w:sz="4" w:space="0" w:color="auto"/>
            </w:tcBorders>
          </w:tcPr>
          <w:p w14:paraId="29D58DEE" w14:textId="77777777" w:rsidR="00DC536A" w:rsidRPr="00325DCB" w:rsidRDefault="00DC536A" w:rsidP="00DC536A">
            <w:pPr>
              <w:jc w:val="center"/>
              <w:rPr>
                <w:b/>
                <w:sz w:val="20"/>
                <w:szCs w:val="20"/>
              </w:rPr>
            </w:pPr>
            <w:r w:rsidRPr="00325DCB">
              <w:rPr>
                <w:b/>
                <w:sz w:val="20"/>
                <w:szCs w:val="20"/>
              </w:rPr>
              <w:lastRenderedPageBreak/>
              <w:t>Week</w:t>
            </w:r>
          </w:p>
        </w:tc>
        <w:tc>
          <w:tcPr>
            <w:tcW w:w="1005" w:type="dxa"/>
            <w:tcBorders>
              <w:bottom w:val="single" w:sz="4" w:space="0" w:color="auto"/>
            </w:tcBorders>
          </w:tcPr>
          <w:p w14:paraId="00B2AB9F" w14:textId="77777777" w:rsidR="00DC536A" w:rsidRPr="00325DCB" w:rsidRDefault="00DC536A" w:rsidP="00DC536A">
            <w:pPr>
              <w:jc w:val="center"/>
              <w:rPr>
                <w:b/>
                <w:sz w:val="20"/>
                <w:szCs w:val="20"/>
              </w:rPr>
            </w:pPr>
            <w:r w:rsidRPr="00325DCB">
              <w:rPr>
                <w:b/>
                <w:sz w:val="20"/>
                <w:szCs w:val="20"/>
              </w:rPr>
              <w:t>Dates</w:t>
            </w:r>
          </w:p>
        </w:tc>
        <w:tc>
          <w:tcPr>
            <w:tcW w:w="8640" w:type="dxa"/>
            <w:tcBorders>
              <w:bottom w:val="single" w:sz="4" w:space="0" w:color="auto"/>
            </w:tcBorders>
          </w:tcPr>
          <w:p w14:paraId="616EA32A" w14:textId="77777777" w:rsidR="00DC536A" w:rsidRPr="00325DCB" w:rsidRDefault="00DC536A" w:rsidP="00DC536A">
            <w:pPr>
              <w:jc w:val="center"/>
              <w:rPr>
                <w:b/>
                <w:sz w:val="20"/>
                <w:szCs w:val="20"/>
              </w:rPr>
            </w:pPr>
            <w:r w:rsidRPr="00325DCB">
              <w:rPr>
                <w:b/>
                <w:sz w:val="20"/>
                <w:szCs w:val="20"/>
              </w:rPr>
              <w:t>Topic</w:t>
            </w:r>
          </w:p>
        </w:tc>
      </w:tr>
      <w:tr w:rsidR="003A3A18" w:rsidRPr="00325DCB" w14:paraId="2F61155F" w14:textId="77777777" w:rsidTr="003A3A18">
        <w:tc>
          <w:tcPr>
            <w:tcW w:w="705" w:type="dxa"/>
            <w:shd w:val="clear" w:color="auto" w:fill="E0E0E0"/>
          </w:tcPr>
          <w:p w14:paraId="70F53961" w14:textId="77777777" w:rsidR="00AB343E" w:rsidRPr="00325DCB" w:rsidRDefault="00AB343E" w:rsidP="00DC536A">
            <w:pPr>
              <w:rPr>
                <w:b/>
                <w:sz w:val="20"/>
                <w:szCs w:val="20"/>
              </w:rPr>
            </w:pPr>
          </w:p>
        </w:tc>
        <w:tc>
          <w:tcPr>
            <w:tcW w:w="1005" w:type="dxa"/>
            <w:shd w:val="clear" w:color="auto" w:fill="E0E0E0"/>
          </w:tcPr>
          <w:p w14:paraId="0AA723B2" w14:textId="77777777" w:rsidR="00AB343E" w:rsidRDefault="00AB343E" w:rsidP="00A90ADF">
            <w:pPr>
              <w:rPr>
                <w:b/>
                <w:sz w:val="20"/>
                <w:szCs w:val="20"/>
              </w:rPr>
            </w:pPr>
          </w:p>
        </w:tc>
        <w:tc>
          <w:tcPr>
            <w:tcW w:w="8640" w:type="dxa"/>
            <w:shd w:val="clear" w:color="auto" w:fill="E0E0E0"/>
          </w:tcPr>
          <w:p w14:paraId="4911150B" w14:textId="77DE5AAB" w:rsidR="00AB343E" w:rsidRPr="00311015" w:rsidRDefault="00311015" w:rsidP="00311015">
            <w:pPr>
              <w:jc w:val="center"/>
              <w:rPr>
                <w:b/>
                <w:i/>
                <w:sz w:val="20"/>
                <w:szCs w:val="20"/>
              </w:rPr>
            </w:pPr>
            <w:r w:rsidRPr="00311015">
              <w:rPr>
                <w:b/>
                <w:i/>
                <w:sz w:val="20"/>
                <w:szCs w:val="20"/>
              </w:rPr>
              <w:t xml:space="preserve">Part I: </w:t>
            </w:r>
            <w:r>
              <w:rPr>
                <w:b/>
                <w:i/>
                <w:sz w:val="20"/>
                <w:szCs w:val="20"/>
              </w:rPr>
              <w:t>Introduction</w:t>
            </w:r>
          </w:p>
        </w:tc>
      </w:tr>
      <w:tr w:rsidR="003A3A18" w:rsidRPr="00325DCB" w14:paraId="3614DB9F" w14:textId="77777777" w:rsidTr="003A3A18">
        <w:tc>
          <w:tcPr>
            <w:tcW w:w="705" w:type="dxa"/>
            <w:tcBorders>
              <w:bottom w:val="single" w:sz="4" w:space="0" w:color="auto"/>
            </w:tcBorders>
            <w:shd w:val="clear" w:color="auto" w:fill="FFFFFF"/>
          </w:tcPr>
          <w:p w14:paraId="6C1365D8" w14:textId="247412C1" w:rsidR="00DC536A" w:rsidRPr="00325DCB" w:rsidRDefault="00807777" w:rsidP="00DC536A">
            <w:pPr>
              <w:rPr>
                <w:b/>
                <w:sz w:val="20"/>
                <w:szCs w:val="20"/>
              </w:rPr>
            </w:pPr>
            <w:r>
              <w:rPr>
                <w:b/>
                <w:sz w:val="20"/>
                <w:szCs w:val="20"/>
              </w:rPr>
              <w:t>1</w:t>
            </w:r>
          </w:p>
        </w:tc>
        <w:tc>
          <w:tcPr>
            <w:tcW w:w="1005" w:type="dxa"/>
            <w:tcBorders>
              <w:bottom w:val="single" w:sz="4" w:space="0" w:color="auto"/>
            </w:tcBorders>
            <w:shd w:val="clear" w:color="auto" w:fill="FFFFFF"/>
          </w:tcPr>
          <w:p w14:paraId="3F36F153" w14:textId="39189711" w:rsidR="00DC536A" w:rsidRPr="00325DCB" w:rsidRDefault="004C6671" w:rsidP="00A90ADF">
            <w:pPr>
              <w:rPr>
                <w:b/>
                <w:sz w:val="20"/>
                <w:szCs w:val="20"/>
              </w:rPr>
            </w:pPr>
            <w:r>
              <w:rPr>
                <w:b/>
                <w:sz w:val="20"/>
                <w:szCs w:val="20"/>
              </w:rPr>
              <w:t>8/23-25</w:t>
            </w:r>
          </w:p>
        </w:tc>
        <w:tc>
          <w:tcPr>
            <w:tcW w:w="8640" w:type="dxa"/>
            <w:tcBorders>
              <w:bottom w:val="single" w:sz="4" w:space="0" w:color="auto"/>
            </w:tcBorders>
            <w:shd w:val="clear" w:color="auto" w:fill="FFFFFF"/>
          </w:tcPr>
          <w:p w14:paraId="3D2E0FEE" w14:textId="2FACE030" w:rsidR="00CD07C2" w:rsidRPr="004133D0" w:rsidRDefault="004E53A8" w:rsidP="004E53A8">
            <w:pPr>
              <w:jc w:val="center"/>
              <w:rPr>
                <w:b/>
                <w:sz w:val="20"/>
                <w:szCs w:val="20"/>
              </w:rPr>
            </w:pPr>
            <w:r w:rsidRPr="004133D0">
              <w:rPr>
                <w:b/>
                <w:sz w:val="20"/>
                <w:szCs w:val="20"/>
              </w:rPr>
              <w:t>Citizenship: Promise, Dimensions, Limits</w:t>
            </w:r>
          </w:p>
          <w:p w14:paraId="369610F2" w14:textId="6361E09F" w:rsidR="00D74B65" w:rsidRPr="004C6671" w:rsidRDefault="0031068C" w:rsidP="00CD07C2">
            <w:pPr>
              <w:rPr>
                <w:b/>
                <w:color w:val="FF0000"/>
                <w:sz w:val="20"/>
                <w:szCs w:val="20"/>
              </w:rPr>
            </w:pPr>
            <w:proofErr w:type="spellStart"/>
            <w:r w:rsidRPr="004133D0">
              <w:rPr>
                <w:sz w:val="20"/>
                <w:szCs w:val="20"/>
              </w:rPr>
              <w:t>Iijja</w:t>
            </w:r>
            <w:proofErr w:type="spellEnd"/>
            <w:r w:rsidRPr="004133D0">
              <w:rPr>
                <w:sz w:val="20"/>
                <w:szCs w:val="20"/>
              </w:rPr>
              <w:t>, “An Analysis of the Concept of Citizenship: Legal, Political, and Social Dimensions” (Blackboard).</w:t>
            </w:r>
          </w:p>
        </w:tc>
      </w:tr>
      <w:tr w:rsidR="003A3A18" w:rsidRPr="00325DCB" w14:paraId="51493A87" w14:textId="77777777" w:rsidTr="003A3A18">
        <w:tc>
          <w:tcPr>
            <w:tcW w:w="705" w:type="dxa"/>
            <w:tcBorders>
              <w:bottom w:val="single" w:sz="4" w:space="0" w:color="auto"/>
            </w:tcBorders>
            <w:shd w:val="pct20" w:color="auto" w:fill="FFFFFF"/>
          </w:tcPr>
          <w:p w14:paraId="3AC0374D" w14:textId="77777777" w:rsidR="0031068C" w:rsidRDefault="0031068C" w:rsidP="00DC536A">
            <w:pPr>
              <w:rPr>
                <w:b/>
                <w:sz w:val="20"/>
                <w:szCs w:val="20"/>
              </w:rPr>
            </w:pPr>
          </w:p>
        </w:tc>
        <w:tc>
          <w:tcPr>
            <w:tcW w:w="1005" w:type="dxa"/>
            <w:tcBorders>
              <w:bottom w:val="single" w:sz="4" w:space="0" w:color="auto"/>
            </w:tcBorders>
            <w:shd w:val="pct20" w:color="auto" w:fill="FFFFFF"/>
          </w:tcPr>
          <w:p w14:paraId="7B1666E7" w14:textId="77777777" w:rsidR="0031068C" w:rsidRDefault="0031068C" w:rsidP="00DC536A">
            <w:pPr>
              <w:rPr>
                <w:b/>
                <w:sz w:val="20"/>
                <w:szCs w:val="20"/>
              </w:rPr>
            </w:pPr>
          </w:p>
        </w:tc>
        <w:tc>
          <w:tcPr>
            <w:tcW w:w="8640" w:type="dxa"/>
            <w:tcBorders>
              <w:bottom w:val="single" w:sz="4" w:space="0" w:color="auto"/>
            </w:tcBorders>
            <w:shd w:val="pct20" w:color="auto" w:fill="FFFFFF"/>
          </w:tcPr>
          <w:p w14:paraId="25769545" w14:textId="177A7229" w:rsidR="0031068C" w:rsidRDefault="0031068C" w:rsidP="00311015">
            <w:pPr>
              <w:jc w:val="center"/>
              <w:rPr>
                <w:b/>
                <w:color w:val="FF0000"/>
                <w:sz w:val="20"/>
                <w:szCs w:val="20"/>
              </w:rPr>
            </w:pPr>
            <w:r w:rsidRPr="004E53A8">
              <w:rPr>
                <w:b/>
                <w:i/>
                <w:sz w:val="20"/>
                <w:szCs w:val="20"/>
              </w:rPr>
              <w:t>Part I</w:t>
            </w:r>
            <w:r w:rsidR="00311015">
              <w:rPr>
                <w:b/>
                <w:i/>
                <w:sz w:val="20"/>
                <w:szCs w:val="20"/>
              </w:rPr>
              <w:t>I</w:t>
            </w:r>
            <w:r w:rsidRPr="004E53A8">
              <w:rPr>
                <w:b/>
                <w:i/>
                <w:sz w:val="20"/>
                <w:szCs w:val="20"/>
              </w:rPr>
              <w:t>: Background: Citizenship, War, and Peace</w:t>
            </w:r>
            <w:r>
              <w:rPr>
                <w:b/>
                <w:i/>
                <w:sz w:val="20"/>
                <w:szCs w:val="20"/>
              </w:rPr>
              <w:t xml:space="preserve">  </w:t>
            </w:r>
          </w:p>
        </w:tc>
      </w:tr>
      <w:tr w:rsidR="003A3A18" w:rsidRPr="00325DCB" w14:paraId="69297A25" w14:textId="77777777" w:rsidTr="003A3A18">
        <w:tc>
          <w:tcPr>
            <w:tcW w:w="705" w:type="dxa"/>
            <w:tcBorders>
              <w:bottom w:val="single" w:sz="4" w:space="0" w:color="auto"/>
            </w:tcBorders>
            <w:shd w:val="clear" w:color="auto" w:fill="FFFFFF"/>
          </w:tcPr>
          <w:p w14:paraId="2BAB11B3" w14:textId="54CE2A71" w:rsidR="0031068C" w:rsidRDefault="00DA6DF0" w:rsidP="00DC536A">
            <w:pPr>
              <w:rPr>
                <w:b/>
                <w:sz w:val="20"/>
                <w:szCs w:val="20"/>
              </w:rPr>
            </w:pPr>
            <w:r>
              <w:rPr>
                <w:b/>
                <w:sz w:val="20"/>
                <w:szCs w:val="20"/>
              </w:rPr>
              <w:t>2</w:t>
            </w:r>
          </w:p>
        </w:tc>
        <w:tc>
          <w:tcPr>
            <w:tcW w:w="1005" w:type="dxa"/>
            <w:tcBorders>
              <w:bottom w:val="single" w:sz="4" w:space="0" w:color="auto"/>
            </w:tcBorders>
            <w:shd w:val="clear" w:color="auto" w:fill="FFFFFF"/>
          </w:tcPr>
          <w:p w14:paraId="5CD2B79F" w14:textId="28407842" w:rsidR="0031068C" w:rsidRDefault="00311015" w:rsidP="00DC536A">
            <w:pPr>
              <w:rPr>
                <w:b/>
                <w:sz w:val="20"/>
                <w:szCs w:val="20"/>
              </w:rPr>
            </w:pPr>
            <w:r>
              <w:rPr>
                <w:b/>
                <w:sz w:val="20"/>
                <w:szCs w:val="20"/>
              </w:rPr>
              <w:t>8/30-9/1</w:t>
            </w:r>
          </w:p>
        </w:tc>
        <w:tc>
          <w:tcPr>
            <w:tcW w:w="8640" w:type="dxa"/>
            <w:tcBorders>
              <w:bottom w:val="single" w:sz="4" w:space="0" w:color="auto"/>
            </w:tcBorders>
            <w:shd w:val="clear" w:color="auto" w:fill="FFFFFF"/>
          </w:tcPr>
          <w:p w14:paraId="2BAF119A" w14:textId="582EB4BD" w:rsidR="00F0335D" w:rsidRPr="004133D0" w:rsidRDefault="00311015" w:rsidP="00F0335D">
            <w:pPr>
              <w:jc w:val="center"/>
              <w:rPr>
                <w:b/>
                <w:sz w:val="20"/>
                <w:szCs w:val="20"/>
              </w:rPr>
            </w:pPr>
            <w:r w:rsidRPr="004133D0">
              <w:rPr>
                <w:b/>
                <w:sz w:val="20"/>
                <w:szCs w:val="20"/>
              </w:rPr>
              <w:t>Citizen, Nation, and Class in t</w:t>
            </w:r>
            <w:r w:rsidR="00F0335D" w:rsidRPr="004133D0">
              <w:rPr>
                <w:b/>
                <w:sz w:val="20"/>
                <w:szCs w:val="20"/>
              </w:rPr>
              <w:t>he Nineteenth Century</w:t>
            </w:r>
          </w:p>
          <w:p w14:paraId="615682E4" w14:textId="77777777" w:rsidR="004133D0" w:rsidRDefault="00F0335D" w:rsidP="004133D0">
            <w:pPr>
              <w:rPr>
                <w:color w:val="000000" w:themeColor="text1"/>
                <w:sz w:val="20"/>
                <w:szCs w:val="20"/>
              </w:rPr>
            </w:pPr>
            <w:r w:rsidRPr="004133D0">
              <w:rPr>
                <w:color w:val="000000" w:themeColor="text1"/>
                <w:sz w:val="20"/>
                <w:szCs w:val="20"/>
              </w:rPr>
              <w:t xml:space="preserve">Sheehan, </w:t>
            </w:r>
            <w:r w:rsidR="00713811" w:rsidRPr="004133D0">
              <w:rPr>
                <w:color w:val="000000" w:themeColor="text1"/>
                <w:sz w:val="20"/>
                <w:szCs w:val="20"/>
              </w:rPr>
              <w:t xml:space="preserve">Prologue and </w:t>
            </w:r>
            <w:proofErr w:type="spellStart"/>
            <w:r w:rsidR="00713811" w:rsidRPr="004133D0">
              <w:rPr>
                <w:color w:val="000000" w:themeColor="text1"/>
                <w:sz w:val="20"/>
                <w:szCs w:val="20"/>
              </w:rPr>
              <w:t>chs</w:t>
            </w:r>
            <w:proofErr w:type="spellEnd"/>
            <w:r w:rsidR="00713811" w:rsidRPr="004133D0">
              <w:rPr>
                <w:color w:val="000000" w:themeColor="text1"/>
                <w:sz w:val="20"/>
                <w:szCs w:val="20"/>
              </w:rPr>
              <w:t>. 1-3 (</w:t>
            </w:r>
            <w:r w:rsidRPr="004133D0">
              <w:rPr>
                <w:color w:val="000000" w:themeColor="text1"/>
                <w:sz w:val="20"/>
                <w:szCs w:val="20"/>
              </w:rPr>
              <w:t>xiii-xx and pp. 3-65</w:t>
            </w:r>
            <w:r w:rsidR="00713811" w:rsidRPr="004133D0">
              <w:rPr>
                <w:color w:val="000000" w:themeColor="text1"/>
                <w:sz w:val="20"/>
                <w:szCs w:val="20"/>
              </w:rPr>
              <w:t>).</w:t>
            </w:r>
          </w:p>
          <w:p w14:paraId="1ADB466D" w14:textId="4EE85DD6" w:rsidR="00311015" w:rsidRPr="004133D0" w:rsidRDefault="00311015" w:rsidP="004133D0">
            <w:pPr>
              <w:pStyle w:val="ListParagraph"/>
              <w:numPr>
                <w:ilvl w:val="0"/>
                <w:numId w:val="7"/>
              </w:numPr>
              <w:rPr>
                <w:color w:val="000000" w:themeColor="text1"/>
                <w:sz w:val="20"/>
                <w:szCs w:val="20"/>
              </w:rPr>
            </w:pPr>
            <w:r w:rsidRPr="004133D0">
              <w:rPr>
                <w:color w:val="000000" w:themeColor="text1"/>
                <w:sz w:val="20"/>
                <w:szCs w:val="20"/>
              </w:rPr>
              <w:t>Film</w:t>
            </w:r>
            <w:r w:rsidR="004F75D4" w:rsidRPr="004133D0">
              <w:rPr>
                <w:color w:val="000000" w:themeColor="text1"/>
                <w:sz w:val="20"/>
                <w:szCs w:val="20"/>
              </w:rPr>
              <w:t xml:space="preserve"> 1</w:t>
            </w:r>
            <w:r w:rsidRPr="004133D0">
              <w:rPr>
                <w:color w:val="000000" w:themeColor="text1"/>
                <w:sz w:val="20"/>
                <w:szCs w:val="20"/>
              </w:rPr>
              <w:t>: Germinal</w:t>
            </w:r>
          </w:p>
        </w:tc>
      </w:tr>
      <w:tr w:rsidR="003A3A18" w:rsidRPr="00325DCB" w14:paraId="76D88D52" w14:textId="77777777" w:rsidTr="003A3A18">
        <w:tc>
          <w:tcPr>
            <w:tcW w:w="705" w:type="dxa"/>
            <w:tcBorders>
              <w:bottom w:val="single" w:sz="4" w:space="0" w:color="auto"/>
            </w:tcBorders>
            <w:shd w:val="clear" w:color="auto" w:fill="FFFFFF"/>
          </w:tcPr>
          <w:p w14:paraId="593A3615" w14:textId="005B2C79" w:rsidR="00DC536A" w:rsidRPr="00325DCB" w:rsidRDefault="00DA6DF0" w:rsidP="00DC536A">
            <w:pPr>
              <w:rPr>
                <w:b/>
                <w:sz w:val="20"/>
                <w:szCs w:val="20"/>
              </w:rPr>
            </w:pPr>
            <w:r>
              <w:rPr>
                <w:b/>
                <w:sz w:val="20"/>
                <w:szCs w:val="20"/>
              </w:rPr>
              <w:t>3</w:t>
            </w:r>
          </w:p>
        </w:tc>
        <w:tc>
          <w:tcPr>
            <w:tcW w:w="1005" w:type="dxa"/>
            <w:tcBorders>
              <w:bottom w:val="single" w:sz="4" w:space="0" w:color="auto"/>
            </w:tcBorders>
            <w:shd w:val="clear" w:color="auto" w:fill="FFFFFF"/>
          </w:tcPr>
          <w:p w14:paraId="29399CDF" w14:textId="4D31AAFC" w:rsidR="00DC536A" w:rsidRPr="00325DCB" w:rsidRDefault="00311015" w:rsidP="00DC536A">
            <w:pPr>
              <w:rPr>
                <w:b/>
                <w:sz w:val="20"/>
                <w:szCs w:val="20"/>
              </w:rPr>
            </w:pPr>
            <w:r>
              <w:rPr>
                <w:b/>
                <w:sz w:val="20"/>
                <w:szCs w:val="20"/>
              </w:rPr>
              <w:t>9/6-8</w:t>
            </w:r>
          </w:p>
        </w:tc>
        <w:tc>
          <w:tcPr>
            <w:tcW w:w="8640" w:type="dxa"/>
            <w:tcBorders>
              <w:bottom w:val="single" w:sz="4" w:space="0" w:color="auto"/>
            </w:tcBorders>
            <w:shd w:val="clear" w:color="auto" w:fill="FFFFFF"/>
          </w:tcPr>
          <w:p w14:paraId="72F51433" w14:textId="54A83E1E" w:rsidR="009857D6" w:rsidRPr="004133D0" w:rsidRDefault="004E53A8" w:rsidP="009857D6">
            <w:pPr>
              <w:jc w:val="center"/>
              <w:rPr>
                <w:b/>
                <w:sz w:val="20"/>
                <w:szCs w:val="20"/>
              </w:rPr>
            </w:pPr>
            <w:r w:rsidRPr="004133D0">
              <w:rPr>
                <w:b/>
                <w:sz w:val="20"/>
                <w:szCs w:val="20"/>
              </w:rPr>
              <w:t>Citizens</w:t>
            </w:r>
            <w:r w:rsidR="000D40C9" w:rsidRPr="004133D0">
              <w:rPr>
                <w:b/>
                <w:sz w:val="20"/>
                <w:szCs w:val="20"/>
              </w:rPr>
              <w:t xml:space="preserve">hip, Nationalism, and War: </w:t>
            </w:r>
            <w:r w:rsidR="00F0335D" w:rsidRPr="004133D0">
              <w:rPr>
                <w:b/>
                <w:sz w:val="20"/>
                <w:szCs w:val="20"/>
              </w:rPr>
              <w:t>1914</w:t>
            </w:r>
            <w:r w:rsidR="000D40C9" w:rsidRPr="004133D0">
              <w:rPr>
                <w:b/>
                <w:sz w:val="20"/>
                <w:szCs w:val="20"/>
              </w:rPr>
              <w:t>–1945</w:t>
            </w:r>
          </w:p>
          <w:p w14:paraId="29581450" w14:textId="77777777" w:rsidR="00DC536A" w:rsidRPr="004133D0" w:rsidRDefault="000D40C9" w:rsidP="00713811">
            <w:pPr>
              <w:rPr>
                <w:sz w:val="20"/>
                <w:szCs w:val="20"/>
              </w:rPr>
            </w:pPr>
            <w:r w:rsidRPr="004133D0">
              <w:rPr>
                <w:sz w:val="20"/>
                <w:szCs w:val="20"/>
              </w:rPr>
              <w:t xml:space="preserve">Sheehan, </w:t>
            </w:r>
            <w:proofErr w:type="spellStart"/>
            <w:r w:rsidR="00713811" w:rsidRPr="004133D0">
              <w:rPr>
                <w:sz w:val="20"/>
                <w:szCs w:val="20"/>
              </w:rPr>
              <w:t>chs</w:t>
            </w:r>
            <w:proofErr w:type="spellEnd"/>
            <w:r w:rsidR="00713811" w:rsidRPr="004133D0">
              <w:rPr>
                <w:sz w:val="20"/>
                <w:szCs w:val="20"/>
              </w:rPr>
              <w:t>. 4-6 (pp. 69-144)</w:t>
            </w:r>
            <w:r w:rsidRPr="004133D0">
              <w:rPr>
                <w:sz w:val="20"/>
                <w:szCs w:val="20"/>
              </w:rPr>
              <w:t xml:space="preserve">; Paul Preston, “The Great Civil War: European Politics, 1914-1945” </w:t>
            </w:r>
            <w:r w:rsidR="00BF5704" w:rsidRPr="004133D0">
              <w:rPr>
                <w:sz w:val="20"/>
                <w:szCs w:val="20"/>
              </w:rPr>
              <w:t>(</w:t>
            </w:r>
            <w:r w:rsidRPr="004133D0">
              <w:rPr>
                <w:sz w:val="20"/>
                <w:szCs w:val="20"/>
              </w:rPr>
              <w:t>Blackboard</w:t>
            </w:r>
            <w:r w:rsidR="00BF5704" w:rsidRPr="004133D0">
              <w:rPr>
                <w:sz w:val="20"/>
                <w:szCs w:val="20"/>
              </w:rPr>
              <w:t>)</w:t>
            </w:r>
            <w:r w:rsidRPr="004133D0">
              <w:rPr>
                <w:sz w:val="20"/>
                <w:szCs w:val="20"/>
              </w:rPr>
              <w:t>.</w:t>
            </w:r>
          </w:p>
          <w:p w14:paraId="1FA778F8" w14:textId="0670E7FA" w:rsidR="005E28E5" w:rsidRPr="004133D0" w:rsidRDefault="005E28E5" w:rsidP="005E28E5">
            <w:pPr>
              <w:pStyle w:val="ListParagraph"/>
              <w:numPr>
                <w:ilvl w:val="0"/>
                <w:numId w:val="5"/>
              </w:numPr>
              <w:rPr>
                <w:sz w:val="20"/>
                <w:szCs w:val="20"/>
              </w:rPr>
            </w:pPr>
            <w:r w:rsidRPr="004133D0">
              <w:rPr>
                <w:sz w:val="20"/>
                <w:szCs w:val="20"/>
              </w:rPr>
              <w:t>Quiz 1, Thursday 9/8 in class.</w:t>
            </w:r>
          </w:p>
        </w:tc>
      </w:tr>
      <w:tr w:rsidR="003A3A18" w:rsidRPr="00325DCB" w14:paraId="6C6C8995" w14:textId="77777777" w:rsidTr="003A3A18">
        <w:trPr>
          <w:trHeight w:val="521"/>
        </w:trPr>
        <w:tc>
          <w:tcPr>
            <w:tcW w:w="705" w:type="dxa"/>
            <w:tcBorders>
              <w:bottom w:val="single" w:sz="4" w:space="0" w:color="auto"/>
            </w:tcBorders>
            <w:shd w:val="clear" w:color="auto" w:fill="FFFFFF"/>
          </w:tcPr>
          <w:p w14:paraId="06AA593C" w14:textId="71A4BC27" w:rsidR="00A765AD" w:rsidRPr="00325DCB" w:rsidRDefault="00DA6DF0" w:rsidP="00DC536A">
            <w:pPr>
              <w:rPr>
                <w:b/>
                <w:sz w:val="20"/>
                <w:szCs w:val="20"/>
              </w:rPr>
            </w:pPr>
            <w:r>
              <w:rPr>
                <w:b/>
                <w:sz w:val="20"/>
                <w:szCs w:val="20"/>
              </w:rPr>
              <w:t>4</w:t>
            </w:r>
          </w:p>
        </w:tc>
        <w:tc>
          <w:tcPr>
            <w:tcW w:w="1005" w:type="dxa"/>
            <w:tcBorders>
              <w:bottom w:val="single" w:sz="4" w:space="0" w:color="auto"/>
            </w:tcBorders>
            <w:shd w:val="clear" w:color="auto" w:fill="FFFFFF"/>
          </w:tcPr>
          <w:p w14:paraId="502E0513" w14:textId="071F6FC8" w:rsidR="00A765AD" w:rsidRDefault="00311015" w:rsidP="004C6671">
            <w:pPr>
              <w:rPr>
                <w:b/>
                <w:sz w:val="20"/>
                <w:szCs w:val="20"/>
              </w:rPr>
            </w:pPr>
            <w:r>
              <w:rPr>
                <w:b/>
                <w:sz w:val="20"/>
                <w:szCs w:val="20"/>
              </w:rPr>
              <w:t>9/13-15</w:t>
            </w:r>
          </w:p>
        </w:tc>
        <w:tc>
          <w:tcPr>
            <w:tcW w:w="8640" w:type="dxa"/>
            <w:tcBorders>
              <w:bottom w:val="single" w:sz="4" w:space="0" w:color="auto"/>
            </w:tcBorders>
            <w:shd w:val="clear" w:color="auto" w:fill="FFFFFF"/>
          </w:tcPr>
          <w:p w14:paraId="67484436" w14:textId="115F56FA" w:rsidR="001B4EB0" w:rsidRPr="004133D0" w:rsidRDefault="001B4EB0" w:rsidP="001B4EB0">
            <w:pPr>
              <w:jc w:val="center"/>
              <w:rPr>
                <w:b/>
                <w:sz w:val="20"/>
                <w:szCs w:val="20"/>
              </w:rPr>
            </w:pPr>
            <w:r w:rsidRPr="004133D0">
              <w:rPr>
                <w:b/>
                <w:sz w:val="20"/>
                <w:szCs w:val="20"/>
              </w:rPr>
              <w:t>1945</w:t>
            </w:r>
            <w:r w:rsidR="000E54D7" w:rsidRPr="004133D0">
              <w:rPr>
                <w:b/>
                <w:sz w:val="20"/>
                <w:szCs w:val="20"/>
              </w:rPr>
              <w:t>: The Aftermath</w:t>
            </w:r>
          </w:p>
          <w:p w14:paraId="10857F2D" w14:textId="379673B7" w:rsidR="00A765AD" w:rsidRPr="004133D0" w:rsidRDefault="000E54D7" w:rsidP="005E28E5">
            <w:pPr>
              <w:rPr>
                <w:sz w:val="20"/>
                <w:szCs w:val="20"/>
              </w:rPr>
            </w:pPr>
            <w:proofErr w:type="spellStart"/>
            <w:r w:rsidRPr="004133D0">
              <w:rPr>
                <w:sz w:val="20"/>
                <w:szCs w:val="20"/>
              </w:rPr>
              <w:t>Buruma</w:t>
            </w:r>
            <w:proofErr w:type="spellEnd"/>
            <w:r w:rsidRPr="004133D0">
              <w:rPr>
                <w:sz w:val="20"/>
                <w:szCs w:val="20"/>
              </w:rPr>
              <w:t xml:space="preserve">, </w:t>
            </w:r>
            <w:proofErr w:type="spellStart"/>
            <w:r w:rsidR="00713811" w:rsidRPr="004133D0">
              <w:rPr>
                <w:sz w:val="20"/>
                <w:szCs w:val="20"/>
              </w:rPr>
              <w:t>chs</w:t>
            </w:r>
            <w:proofErr w:type="spellEnd"/>
            <w:r w:rsidR="00713811" w:rsidRPr="004133D0">
              <w:rPr>
                <w:sz w:val="20"/>
                <w:szCs w:val="20"/>
              </w:rPr>
              <w:t>. 1-4 (pp. 1-168)</w:t>
            </w:r>
            <w:r w:rsidR="006B6B7C" w:rsidRPr="004133D0">
              <w:rPr>
                <w:sz w:val="20"/>
                <w:szCs w:val="20"/>
              </w:rPr>
              <w:t xml:space="preserve">, Hitchcock, </w:t>
            </w:r>
            <w:r w:rsidR="00713811" w:rsidRPr="004133D0">
              <w:rPr>
                <w:sz w:val="20"/>
                <w:szCs w:val="20"/>
              </w:rPr>
              <w:t xml:space="preserve">Introduction and </w:t>
            </w:r>
            <w:proofErr w:type="spellStart"/>
            <w:r w:rsidR="00713811" w:rsidRPr="004133D0">
              <w:rPr>
                <w:sz w:val="20"/>
                <w:szCs w:val="20"/>
              </w:rPr>
              <w:t>ch.</w:t>
            </w:r>
            <w:proofErr w:type="spellEnd"/>
            <w:r w:rsidR="00713811" w:rsidRPr="004133D0">
              <w:rPr>
                <w:sz w:val="20"/>
                <w:szCs w:val="20"/>
              </w:rPr>
              <w:t xml:space="preserve"> 1 (pp. 1-39</w:t>
            </w:r>
            <w:r w:rsidR="005E28E5" w:rsidRPr="004133D0">
              <w:rPr>
                <w:sz w:val="20"/>
                <w:szCs w:val="20"/>
              </w:rPr>
              <w:t>)</w:t>
            </w:r>
          </w:p>
        </w:tc>
      </w:tr>
      <w:tr w:rsidR="003A3A18" w:rsidRPr="00325DCB" w14:paraId="396DA2E3" w14:textId="77777777" w:rsidTr="003A3A18">
        <w:tc>
          <w:tcPr>
            <w:tcW w:w="705" w:type="dxa"/>
            <w:tcBorders>
              <w:bottom w:val="single" w:sz="4" w:space="0" w:color="auto"/>
            </w:tcBorders>
            <w:shd w:val="clear" w:color="auto" w:fill="FFFFFF"/>
          </w:tcPr>
          <w:p w14:paraId="61B75815" w14:textId="59B4276E" w:rsidR="00CD07C2" w:rsidRDefault="00DA6DF0" w:rsidP="00DC536A">
            <w:pPr>
              <w:rPr>
                <w:b/>
                <w:sz w:val="20"/>
                <w:szCs w:val="20"/>
              </w:rPr>
            </w:pPr>
            <w:r>
              <w:rPr>
                <w:b/>
                <w:sz w:val="20"/>
                <w:szCs w:val="20"/>
              </w:rPr>
              <w:t>5</w:t>
            </w:r>
          </w:p>
        </w:tc>
        <w:tc>
          <w:tcPr>
            <w:tcW w:w="1005" w:type="dxa"/>
            <w:tcBorders>
              <w:bottom w:val="single" w:sz="4" w:space="0" w:color="auto"/>
            </w:tcBorders>
            <w:shd w:val="clear" w:color="auto" w:fill="FFFFFF"/>
          </w:tcPr>
          <w:p w14:paraId="51BB0F98" w14:textId="1F18F0C3" w:rsidR="00CD07C2" w:rsidRDefault="00311015" w:rsidP="00DC536A">
            <w:pPr>
              <w:rPr>
                <w:b/>
                <w:sz w:val="20"/>
                <w:szCs w:val="20"/>
              </w:rPr>
            </w:pPr>
            <w:r>
              <w:rPr>
                <w:b/>
                <w:sz w:val="20"/>
                <w:szCs w:val="20"/>
              </w:rPr>
              <w:t>9/20-22</w:t>
            </w:r>
          </w:p>
        </w:tc>
        <w:tc>
          <w:tcPr>
            <w:tcW w:w="8640" w:type="dxa"/>
            <w:tcBorders>
              <w:bottom w:val="single" w:sz="4" w:space="0" w:color="auto"/>
            </w:tcBorders>
            <w:shd w:val="clear" w:color="auto" w:fill="FFFFFF"/>
          </w:tcPr>
          <w:p w14:paraId="7BE565EC" w14:textId="77777777" w:rsidR="00CD07C2" w:rsidRPr="004133D0" w:rsidRDefault="000E54D7" w:rsidP="001B4EB0">
            <w:pPr>
              <w:jc w:val="center"/>
              <w:rPr>
                <w:b/>
                <w:sz w:val="20"/>
                <w:szCs w:val="20"/>
              </w:rPr>
            </w:pPr>
            <w:r w:rsidRPr="004133D0">
              <w:rPr>
                <w:b/>
                <w:sz w:val="20"/>
                <w:szCs w:val="20"/>
              </w:rPr>
              <w:t>1945: The Future</w:t>
            </w:r>
          </w:p>
          <w:p w14:paraId="5FA77BCC" w14:textId="2616A965" w:rsidR="004D69C6" w:rsidRPr="004133D0" w:rsidRDefault="000E54D7" w:rsidP="00FA4566">
            <w:pPr>
              <w:rPr>
                <w:sz w:val="20"/>
                <w:szCs w:val="20"/>
              </w:rPr>
            </w:pPr>
            <w:proofErr w:type="spellStart"/>
            <w:r w:rsidRPr="004133D0">
              <w:rPr>
                <w:sz w:val="20"/>
                <w:szCs w:val="20"/>
              </w:rPr>
              <w:t>Buruma</w:t>
            </w:r>
            <w:proofErr w:type="spellEnd"/>
            <w:r w:rsidRPr="004133D0">
              <w:rPr>
                <w:sz w:val="20"/>
                <w:szCs w:val="20"/>
              </w:rPr>
              <w:t xml:space="preserve">, </w:t>
            </w:r>
            <w:proofErr w:type="spellStart"/>
            <w:r w:rsidR="004F75D4" w:rsidRPr="004133D0">
              <w:rPr>
                <w:sz w:val="20"/>
                <w:szCs w:val="20"/>
              </w:rPr>
              <w:t>chs</w:t>
            </w:r>
            <w:proofErr w:type="spellEnd"/>
            <w:r w:rsidR="004F75D4" w:rsidRPr="004133D0">
              <w:rPr>
                <w:sz w:val="20"/>
                <w:szCs w:val="20"/>
              </w:rPr>
              <w:t xml:space="preserve">. 5-9 and epilogue </w:t>
            </w:r>
            <w:r w:rsidR="00713811" w:rsidRPr="004133D0">
              <w:rPr>
                <w:sz w:val="20"/>
                <w:szCs w:val="20"/>
              </w:rPr>
              <w:t>(</w:t>
            </w:r>
            <w:r w:rsidR="004F75D4" w:rsidRPr="004133D0">
              <w:rPr>
                <w:sz w:val="20"/>
                <w:szCs w:val="20"/>
              </w:rPr>
              <w:t>pp. 169-337</w:t>
            </w:r>
            <w:r w:rsidR="00713811" w:rsidRPr="004133D0">
              <w:rPr>
                <w:sz w:val="20"/>
                <w:szCs w:val="20"/>
              </w:rPr>
              <w:t>)</w:t>
            </w:r>
            <w:r w:rsidR="006B6B7C" w:rsidRPr="004133D0">
              <w:rPr>
                <w:sz w:val="20"/>
                <w:szCs w:val="20"/>
              </w:rPr>
              <w:t xml:space="preserve">; Hitchcock, </w:t>
            </w:r>
            <w:proofErr w:type="spellStart"/>
            <w:r w:rsidR="004F75D4" w:rsidRPr="004133D0">
              <w:rPr>
                <w:sz w:val="20"/>
                <w:szCs w:val="20"/>
              </w:rPr>
              <w:t>ch.</w:t>
            </w:r>
            <w:proofErr w:type="spellEnd"/>
            <w:r w:rsidR="004F75D4" w:rsidRPr="004133D0">
              <w:rPr>
                <w:sz w:val="20"/>
                <w:szCs w:val="20"/>
              </w:rPr>
              <w:t xml:space="preserve"> 2 </w:t>
            </w:r>
            <w:r w:rsidR="00713811" w:rsidRPr="004133D0">
              <w:rPr>
                <w:sz w:val="20"/>
                <w:szCs w:val="20"/>
              </w:rPr>
              <w:t>(</w:t>
            </w:r>
            <w:r w:rsidR="004F75D4" w:rsidRPr="004133D0">
              <w:rPr>
                <w:sz w:val="20"/>
                <w:szCs w:val="20"/>
              </w:rPr>
              <w:t>pp. 40-68</w:t>
            </w:r>
            <w:r w:rsidR="00713811" w:rsidRPr="004133D0">
              <w:rPr>
                <w:sz w:val="20"/>
                <w:szCs w:val="20"/>
              </w:rPr>
              <w:t>)</w:t>
            </w:r>
            <w:r w:rsidR="009500A9" w:rsidRPr="004133D0">
              <w:rPr>
                <w:sz w:val="20"/>
                <w:szCs w:val="20"/>
              </w:rPr>
              <w:t>.</w:t>
            </w:r>
          </w:p>
          <w:p w14:paraId="10521EA0" w14:textId="354A34CD" w:rsidR="000E54D7" w:rsidRPr="004133D0" w:rsidRDefault="003A3A18" w:rsidP="004D69C6">
            <w:pPr>
              <w:pStyle w:val="ListParagraph"/>
              <w:numPr>
                <w:ilvl w:val="0"/>
                <w:numId w:val="4"/>
              </w:numPr>
              <w:rPr>
                <w:sz w:val="20"/>
                <w:szCs w:val="20"/>
              </w:rPr>
            </w:pPr>
            <w:r>
              <w:rPr>
                <w:sz w:val="20"/>
                <w:szCs w:val="20"/>
              </w:rPr>
              <w:t xml:space="preserve">Paper 1: due </w:t>
            </w:r>
            <w:r w:rsidR="002C19BE" w:rsidRPr="004133D0">
              <w:rPr>
                <w:sz w:val="20"/>
                <w:szCs w:val="20"/>
              </w:rPr>
              <w:t>Sunda</w:t>
            </w:r>
            <w:r w:rsidR="006B6B7C" w:rsidRPr="004133D0">
              <w:rPr>
                <w:sz w:val="20"/>
                <w:szCs w:val="20"/>
              </w:rPr>
              <w:t>y</w:t>
            </w:r>
            <w:r w:rsidR="004F75D4" w:rsidRPr="004133D0">
              <w:rPr>
                <w:sz w:val="20"/>
                <w:szCs w:val="20"/>
              </w:rPr>
              <w:t xml:space="preserve"> 9/25 midnight</w:t>
            </w:r>
          </w:p>
        </w:tc>
      </w:tr>
      <w:tr w:rsidR="003A3A18" w:rsidRPr="00325DCB" w14:paraId="3622A571" w14:textId="77777777" w:rsidTr="003A3A18">
        <w:tc>
          <w:tcPr>
            <w:tcW w:w="705" w:type="dxa"/>
            <w:shd w:val="clear" w:color="auto" w:fill="FFFFFF"/>
          </w:tcPr>
          <w:p w14:paraId="7FDF6244" w14:textId="77777777" w:rsidR="0031068C" w:rsidRDefault="0031068C" w:rsidP="00DC536A">
            <w:pPr>
              <w:rPr>
                <w:b/>
                <w:sz w:val="20"/>
                <w:szCs w:val="20"/>
              </w:rPr>
            </w:pPr>
          </w:p>
        </w:tc>
        <w:tc>
          <w:tcPr>
            <w:tcW w:w="1005" w:type="dxa"/>
            <w:shd w:val="pct20" w:color="auto" w:fill="FFFFFF"/>
          </w:tcPr>
          <w:p w14:paraId="37C9D83E" w14:textId="77777777" w:rsidR="0031068C" w:rsidRDefault="0031068C" w:rsidP="007552FC">
            <w:pPr>
              <w:rPr>
                <w:b/>
                <w:sz w:val="20"/>
                <w:szCs w:val="20"/>
              </w:rPr>
            </w:pPr>
          </w:p>
        </w:tc>
        <w:tc>
          <w:tcPr>
            <w:tcW w:w="8640" w:type="dxa"/>
            <w:shd w:val="pct20" w:color="auto" w:fill="FFFFFF"/>
          </w:tcPr>
          <w:p w14:paraId="5579A102" w14:textId="480B1C45" w:rsidR="0031068C" w:rsidRPr="004133D0" w:rsidRDefault="0031068C" w:rsidP="00762562">
            <w:pPr>
              <w:jc w:val="center"/>
              <w:rPr>
                <w:b/>
                <w:i/>
                <w:sz w:val="20"/>
                <w:szCs w:val="20"/>
              </w:rPr>
            </w:pPr>
            <w:r w:rsidRPr="004133D0">
              <w:rPr>
                <w:b/>
                <w:i/>
                <w:sz w:val="20"/>
                <w:szCs w:val="20"/>
              </w:rPr>
              <w:t>Part II</w:t>
            </w:r>
            <w:r w:rsidR="00713811" w:rsidRPr="004133D0">
              <w:rPr>
                <w:b/>
                <w:i/>
                <w:sz w:val="20"/>
                <w:szCs w:val="20"/>
              </w:rPr>
              <w:t>I</w:t>
            </w:r>
            <w:r w:rsidRPr="004133D0">
              <w:rPr>
                <w:b/>
                <w:i/>
                <w:sz w:val="20"/>
                <w:szCs w:val="20"/>
              </w:rPr>
              <w:t>: Europe in the Era of the Cold War 1947-1989</w:t>
            </w:r>
          </w:p>
        </w:tc>
      </w:tr>
      <w:tr w:rsidR="003A3A18" w:rsidRPr="00325DCB" w14:paraId="66492370" w14:textId="77777777" w:rsidTr="003A3A18">
        <w:tc>
          <w:tcPr>
            <w:tcW w:w="705" w:type="dxa"/>
            <w:shd w:val="clear" w:color="auto" w:fill="FFFFFF"/>
          </w:tcPr>
          <w:p w14:paraId="48220661" w14:textId="6F5992B5" w:rsidR="009500A9" w:rsidRDefault="00DA6DF0" w:rsidP="00DC536A">
            <w:pPr>
              <w:rPr>
                <w:b/>
                <w:sz w:val="20"/>
                <w:szCs w:val="20"/>
              </w:rPr>
            </w:pPr>
            <w:r>
              <w:rPr>
                <w:b/>
                <w:sz w:val="20"/>
                <w:szCs w:val="20"/>
              </w:rPr>
              <w:t>6</w:t>
            </w:r>
          </w:p>
        </w:tc>
        <w:tc>
          <w:tcPr>
            <w:tcW w:w="1005" w:type="dxa"/>
            <w:shd w:val="clear" w:color="auto" w:fill="FFFFFF"/>
          </w:tcPr>
          <w:p w14:paraId="5C5B9965" w14:textId="0DE4B753" w:rsidR="009500A9" w:rsidRDefault="00311015" w:rsidP="007552FC">
            <w:pPr>
              <w:rPr>
                <w:b/>
                <w:sz w:val="20"/>
                <w:szCs w:val="20"/>
              </w:rPr>
            </w:pPr>
            <w:r>
              <w:rPr>
                <w:b/>
                <w:sz w:val="20"/>
                <w:szCs w:val="20"/>
              </w:rPr>
              <w:t>9/27-29</w:t>
            </w:r>
          </w:p>
        </w:tc>
        <w:tc>
          <w:tcPr>
            <w:tcW w:w="8640" w:type="dxa"/>
            <w:shd w:val="clear" w:color="auto" w:fill="FFFFFF"/>
          </w:tcPr>
          <w:p w14:paraId="1EE17780" w14:textId="77777777" w:rsidR="009500A9" w:rsidRPr="004133D0" w:rsidRDefault="009500A9" w:rsidP="00762562">
            <w:pPr>
              <w:jc w:val="center"/>
              <w:rPr>
                <w:b/>
                <w:sz w:val="20"/>
                <w:szCs w:val="20"/>
              </w:rPr>
            </w:pPr>
            <w:r w:rsidRPr="004133D0">
              <w:rPr>
                <w:b/>
                <w:sz w:val="20"/>
                <w:szCs w:val="20"/>
              </w:rPr>
              <w:t>Overview</w:t>
            </w:r>
          </w:p>
          <w:p w14:paraId="248DBDE0" w14:textId="77777777" w:rsidR="009500A9" w:rsidRPr="004133D0" w:rsidRDefault="004F75D4" w:rsidP="009500A9">
            <w:pPr>
              <w:rPr>
                <w:sz w:val="20"/>
                <w:szCs w:val="20"/>
              </w:rPr>
            </w:pPr>
            <w:r w:rsidRPr="004133D0">
              <w:rPr>
                <w:sz w:val="20"/>
                <w:szCs w:val="20"/>
              </w:rPr>
              <w:t xml:space="preserve">Sheehan, </w:t>
            </w:r>
            <w:proofErr w:type="spellStart"/>
            <w:r w:rsidRPr="004133D0">
              <w:rPr>
                <w:sz w:val="20"/>
                <w:szCs w:val="20"/>
              </w:rPr>
              <w:t>chs</w:t>
            </w:r>
            <w:proofErr w:type="spellEnd"/>
            <w:r w:rsidRPr="004133D0">
              <w:rPr>
                <w:sz w:val="20"/>
                <w:szCs w:val="20"/>
              </w:rPr>
              <w:t>.</w:t>
            </w:r>
            <w:r w:rsidR="009500A9" w:rsidRPr="004133D0">
              <w:rPr>
                <w:sz w:val="20"/>
                <w:szCs w:val="20"/>
              </w:rPr>
              <w:t xml:space="preserve"> 7-9 and epilogue (pp. 147-227).</w:t>
            </w:r>
          </w:p>
          <w:p w14:paraId="41188F95" w14:textId="3C51A114" w:rsidR="004F75D4" w:rsidRPr="004133D0" w:rsidRDefault="004F75D4" w:rsidP="004F75D4">
            <w:pPr>
              <w:pStyle w:val="ListParagraph"/>
              <w:numPr>
                <w:ilvl w:val="0"/>
                <w:numId w:val="4"/>
              </w:numPr>
              <w:rPr>
                <w:sz w:val="20"/>
                <w:szCs w:val="20"/>
              </w:rPr>
            </w:pPr>
            <w:r w:rsidRPr="004133D0">
              <w:rPr>
                <w:sz w:val="20"/>
                <w:szCs w:val="20"/>
              </w:rPr>
              <w:t>Film 2: The Loneliness of the Long Distance Runner</w:t>
            </w:r>
          </w:p>
        </w:tc>
      </w:tr>
      <w:tr w:rsidR="003A3A18" w:rsidRPr="00325DCB" w14:paraId="1B61B9CB" w14:textId="77777777" w:rsidTr="003A3A18">
        <w:tc>
          <w:tcPr>
            <w:tcW w:w="705" w:type="dxa"/>
            <w:shd w:val="clear" w:color="auto" w:fill="FFFFFF"/>
          </w:tcPr>
          <w:p w14:paraId="2DB6E363" w14:textId="64E1E2C6" w:rsidR="00DC536A" w:rsidRPr="00325DCB" w:rsidRDefault="00DA6DF0" w:rsidP="00DC536A">
            <w:pPr>
              <w:rPr>
                <w:b/>
                <w:sz w:val="20"/>
                <w:szCs w:val="20"/>
              </w:rPr>
            </w:pPr>
            <w:r>
              <w:rPr>
                <w:b/>
                <w:sz w:val="20"/>
                <w:szCs w:val="20"/>
              </w:rPr>
              <w:t>7</w:t>
            </w:r>
          </w:p>
        </w:tc>
        <w:tc>
          <w:tcPr>
            <w:tcW w:w="1005" w:type="dxa"/>
            <w:shd w:val="clear" w:color="auto" w:fill="FFFFFF"/>
          </w:tcPr>
          <w:p w14:paraId="5C3E2B4C" w14:textId="7BA229CB" w:rsidR="00DC536A" w:rsidRPr="00325DCB" w:rsidRDefault="00311015" w:rsidP="007552FC">
            <w:pPr>
              <w:rPr>
                <w:b/>
                <w:sz w:val="20"/>
                <w:szCs w:val="20"/>
              </w:rPr>
            </w:pPr>
            <w:r>
              <w:rPr>
                <w:b/>
                <w:sz w:val="20"/>
                <w:szCs w:val="20"/>
              </w:rPr>
              <w:t>10/4-6</w:t>
            </w:r>
          </w:p>
        </w:tc>
        <w:tc>
          <w:tcPr>
            <w:tcW w:w="8640" w:type="dxa"/>
            <w:shd w:val="clear" w:color="auto" w:fill="FFFFFF"/>
          </w:tcPr>
          <w:p w14:paraId="3F481C5C" w14:textId="0B8A7479" w:rsidR="00E771FE" w:rsidRPr="004133D0" w:rsidRDefault="00E771FE" w:rsidP="00762562">
            <w:pPr>
              <w:jc w:val="center"/>
              <w:rPr>
                <w:b/>
                <w:sz w:val="20"/>
                <w:szCs w:val="20"/>
              </w:rPr>
            </w:pPr>
            <w:r w:rsidRPr="004133D0">
              <w:rPr>
                <w:b/>
                <w:sz w:val="20"/>
                <w:szCs w:val="20"/>
              </w:rPr>
              <w:t xml:space="preserve">The </w:t>
            </w:r>
            <w:r w:rsidR="00762562" w:rsidRPr="004133D0">
              <w:rPr>
                <w:b/>
                <w:sz w:val="20"/>
                <w:szCs w:val="20"/>
              </w:rPr>
              <w:t>1</w:t>
            </w:r>
            <w:r w:rsidR="005E28E5" w:rsidRPr="004133D0">
              <w:rPr>
                <w:b/>
                <w:sz w:val="20"/>
                <w:szCs w:val="20"/>
              </w:rPr>
              <w:t>950s and 1960s</w:t>
            </w:r>
            <w:r w:rsidR="00A2199D" w:rsidRPr="004133D0">
              <w:rPr>
                <w:b/>
                <w:sz w:val="20"/>
                <w:szCs w:val="20"/>
              </w:rPr>
              <w:t xml:space="preserve">, </w:t>
            </w:r>
            <w:r w:rsidR="00E92667" w:rsidRPr="004133D0">
              <w:rPr>
                <w:b/>
                <w:sz w:val="20"/>
                <w:szCs w:val="20"/>
              </w:rPr>
              <w:t>pt. 1</w:t>
            </w:r>
          </w:p>
          <w:p w14:paraId="04DB5621" w14:textId="77777777" w:rsidR="00541777" w:rsidRPr="004133D0" w:rsidRDefault="0095387E" w:rsidP="004F75D4">
            <w:pPr>
              <w:rPr>
                <w:sz w:val="20"/>
                <w:szCs w:val="20"/>
              </w:rPr>
            </w:pPr>
            <w:r w:rsidRPr="004133D0">
              <w:rPr>
                <w:sz w:val="20"/>
                <w:szCs w:val="20"/>
              </w:rPr>
              <w:t xml:space="preserve">Hitchcock, </w:t>
            </w:r>
            <w:proofErr w:type="spellStart"/>
            <w:r w:rsidR="00B2557A" w:rsidRPr="004133D0">
              <w:rPr>
                <w:sz w:val="20"/>
                <w:szCs w:val="20"/>
              </w:rPr>
              <w:t>chs</w:t>
            </w:r>
            <w:proofErr w:type="spellEnd"/>
            <w:r w:rsidRPr="004133D0">
              <w:rPr>
                <w:sz w:val="20"/>
                <w:szCs w:val="20"/>
              </w:rPr>
              <w:t>. 3-6 (pp. 69-192</w:t>
            </w:r>
            <w:r w:rsidR="00B2557A" w:rsidRPr="004133D0">
              <w:rPr>
                <w:sz w:val="20"/>
                <w:szCs w:val="20"/>
              </w:rPr>
              <w:t>)</w:t>
            </w:r>
            <w:r w:rsidRPr="004133D0">
              <w:rPr>
                <w:sz w:val="20"/>
                <w:szCs w:val="20"/>
              </w:rPr>
              <w:t>.</w:t>
            </w:r>
            <w:r w:rsidR="00FA4566" w:rsidRPr="004133D0">
              <w:rPr>
                <w:sz w:val="20"/>
                <w:szCs w:val="20"/>
              </w:rPr>
              <w:t xml:space="preserve"> </w:t>
            </w:r>
          </w:p>
          <w:p w14:paraId="7779EC0E" w14:textId="03B11E3B" w:rsidR="00762562" w:rsidRPr="004133D0" w:rsidRDefault="00541777" w:rsidP="00541777">
            <w:pPr>
              <w:pStyle w:val="ListParagraph"/>
              <w:numPr>
                <w:ilvl w:val="0"/>
                <w:numId w:val="4"/>
              </w:numPr>
              <w:rPr>
                <w:sz w:val="20"/>
                <w:szCs w:val="20"/>
              </w:rPr>
            </w:pPr>
            <w:r w:rsidRPr="004133D0">
              <w:rPr>
                <w:sz w:val="20"/>
                <w:szCs w:val="20"/>
              </w:rPr>
              <w:t>Midterm Examination</w:t>
            </w:r>
          </w:p>
        </w:tc>
      </w:tr>
      <w:tr w:rsidR="003A3A18" w:rsidRPr="00325DCB" w14:paraId="4C7279EB" w14:textId="77777777" w:rsidTr="003A3A18">
        <w:tc>
          <w:tcPr>
            <w:tcW w:w="705" w:type="dxa"/>
            <w:tcBorders>
              <w:bottom w:val="single" w:sz="4" w:space="0" w:color="auto"/>
            </w:tcBorders>
            <w:shd w:val="clear" w:color="auto" w:fill="FFFFFF"/>
          </w:tcPr>
          <w:p w14:paraId="3D8265A1" w14:textId="61C86C24" w:rsidR="008D52E6" w:rsidRPr="00325DCB" w:rsidRDefault="00DA6DF0" w:rsidP="00DC536A">
            <w:pPr>
              <w:rPr>
                <w:b/>
                <w:sz w:val="20"/>
                <w:szCs w:val="20"/>
              </w:rPr>
            </w:pPr>
            <w:r>
              <w:rPr>
                <w:b/>
                <w:sz w:val="20"/>
                <w:szCs w:val="20"/>
              </w:rPr>
              <w:t>8</w:t>
            </w:r>
          </w:p>
        </w:tc>
        <w:tc>
          <w:tcPr>
            <w:tcW w:w="1005" w:type="dxa"/>
            <w:tcBorders>
              <w:bottom w:val="single" w:sz="4" w:space="0" w:color="auto"/>
            </w:tcBorders>
            <w:shd w:val="clear" w:color="auto" w:fill="FFFFFF"/>
          </w:tcPr>
          <w:p w14:paraId="4E81A5C8" w14:textId="522FE184" w:rsidR="008D52E6" w:rsidRDefault="00311015" w:rsidP="00A90ADF">
            <w:pPr>
              <w:rPr>
                <w:b/>
                <w:sz w:val="20"/>
                <w:szCs w:val="20"/>
              </w:rPr>
            </w:pPr>
            <w:r>
              <w:rPr>
                <w:b/>
                <w:sz w:val="20"/>
                <w:szCs w:val="20"/>
              </w:rPr>
              <w:t>10/11-13</w:t>
            </w:r>
          </w:p>
        </w:tc>
        <w:tc>
          <w:tcPr>
            <w:tcW w:w="8640" w:type="dxa"/>
            <w:tcBorders>
              <w:bottom w:val="single" w:sz="4" w:space="0" w:color="auto"/>
            </w:tcBorders>
            <w:shd w:val="clear" w:color="auto" w:fill="FFFFFF"/>
          </w:tcPr>
          <w:p w14:paraId="143F4E32" w14:textId="5DBAB850" w:rsidR="005553C4" w:rsidRPr="004133D0" w:rsidRDefault="00762562" w:rsidP="00CD4A5E">
            <w:pPr>
              <w:jc w:val="center"/>
              <w:rPr>
                <w:b/>
                <w:sz w:val="20"/>
                <w:szCs w:val="20"/>
              </w:rPr>
            </w:pPr>
            <w:r w:rsidRPr="004133D0">
              <w:rPr>
                <w:b/>
                <w:sz w:val="20"/>
                <w:szCs w:val="20"/>
              </w:rPr>
              <w:t>The 1950s and 1960s</w:t>
            </w:r>
            <w:r w:rsidR="00A2199D" w:rsidRPr="004133D0">
              <w:rPr>
                <w:b/>
                <w:sz w:val="20"/>
                <w:szCs w:val="20"/>
              </w:rPr>
              <w:t>, pt. 2</w:t>
            </w:r>
          </w:p>
          <w:p w14:paraId="776B13DE" w14:textId="436D3A1F" w:rsidR="00FD7EA2" w:rsidRPr="004133D0" w:rsidRDefault="0095387E" w:rsidP="0095387E">
            <w:pPr>
              <w:rPr>
                <w:sz w:val="20"/>
                <w:szCs w:val="20"/>
              </w:rPr>
            </w:pPr>
            <w:r w:rsidRPr="004133D0">
              <w:rPr>
                <w:sz w:val="20"/>
                <w:szCs w:val="20"/>
              </w:rPr>
              <w:t>Hitchcock</w:t>
            </w:r>
            <w:r w:rsidR="00B2557A" w:rsidRPr="004133D0">
              <w:rPr>
                <w:sz w:val="20"/>
                <w:szCs w:val="20"/>
              </w:rPr>
              <w:t xml:space="preserve">, </w:t>
            </w:r>
            <w:proofErr w:type="spellStart"/>
            <w:r w:rsidR="00B2557A" w:rsidRPr="004133D0">
              <w:rPr>
                <w:sz w:val="20"/>
                <w:szCs w:val="20"/>
              </w:rPr>
              <w:t>ch</w:t>
            </w:r>
            <w:r w:rsidR="00DD3F1C" w:rsidRPr="004133D0">
              <w:rPr>
                <w:sz w:val="20"/>
                <w:szCs w:val="20"/>
              </w:rPr>
              <w:t>s</w:t>
            </w:r>
            <w:proofErr w:type="spellEnd"/>
            <w:r w:rsidR="00B2557A" w:rsidRPr="004133D0">
              <w:rPr>
                <w:sz w:val="20"/>
                <w:szCs w:val="20"/>
              </w:rPr>
              <w:t xml:space="preserve">. </w:t>
            </w:r>
            <w:r w:rsidRPr="004133D0">
              <w:rPr>
                <w:sz w:val="20"/>
                <w:szCs w:val="20"/>
              </w:rPr>
              <w:t>7-9</w:t>
            </w:r>
            <w:r w:rsidR="00B2557A" w:rsidRPr="004133D0">
              <w:rPr>
                <w:sz w:val="20"/>
                <w:szCs w:val="20"/>
              </w:rPr>
              <w:t xml:space="preserve"> </w:t>
            </w:r>
            <w:r w:rsidRPr="004133D0">
              <w:rPr>
                <w:sz w:val="20"/>
                <w:szCs w:val="20"/>
              </w:rPr>
              <w:t>(pp. 193</w:t>
            </w:r>
            <w:r w:rsidR="00A90ADF" w:rsidRPr="004133D0">
              <w:rPr>
                <w:sz w:val="20"/>
                <w:szCs w:val="20"/>
              </w:rPr>
              <w:t>-268).</w:t>
            </w:r>
            <w:r w:rsidR="00C0426B" w:rsidRPr="004133D0">
              <w:rPr>
                <w:sz w:val="20"/>
                <w:szCs w:val="20"/>
              </w:rPr>
              <w:t xml:space="preserve"> </w:t>
            </w:r>
            <w:r w:rsidRPr="004133D0">
              <w:rPr>
                <w:sz w:val="20"/>
                <w:szCs w:val="20"/>
              </w:rPr>
              <w:t xml:space="preserve">Beckett, </w:t>
            </w:r>
            <w:r w:rsidRPr="004133D0">
              <w:rPr>
                <w:i/>
                <w:sz w:val="20"/>
                <w:szCs w:val="20"/>
              </w:rPr>
              <w:t>Thatcher</w:t>
            </w:r>
            <w:r w:rsidR="00C0426B" w:rsidRPr="004133D0">
              <w:rPr>
                <w:sz w:val="20"/>
                <w:szCs w:val="20"/>
              </w:rPr>
              <w:t xml:space="preserve">, </w:t>
            </w:r>
            <w:proofErr w:type="spellStart"/>
            <w:r w:rsidR="00C0426B" w:rsidRPr="004133D0">
              <w:rPr>
                <w:sz w:val="20"/>
                <w:szCs w:val="20"/>
              </w:rPr>
              <w:t>chs</w:t>
            </w:r>
            <w:proofErr w:type="spellEnd"/>
            <w:r w:rsidR="00C0426B" w:rsidRPr="004133D0">
              <w:rPr>
                <w:sz w:val="20"/>
                <w:szCs w:val="20"/>
              </w:rPr>
              <w:t>. 1-5 (pp. 1-85)</w:t>
            </w:r>
            <w:r w:rsidR="005E28E5" w:rsidRPr="004133D0">
              <w:rPr>
                <w:sz w:val="20"/>
                <w:szCs w:val="20"/>
              </w:rPr>
              <w:t>.</w:t>
            </w:r>
          </w:p>
          <w:p w14:paraId="5EC1D0C2" w14:textId="62044790" w:rsidR="005E28E5" w:rsidRPr="004133D0" w:rsidRDefault="00541777" w:rsidP="00541777">
            <w:pPr>
              <w:pStyle w:val="ListParagraph"/>
              <w:numPr>
                <w:ilvl w:val="0"/>
                <w:numId w:val="4"/>
              </w:numPr>
              <w:rPr>
                <w:sz w:val="20"/>
                <w:szCs w:val="20"/>
              </w:rPr>
            </w:pPr>
            <w:r w:rsidRPr="004133D0">
              <w:rPr>
                <w:sz w:val="20"/>
                <w:szCs w:val="20"/>
              </w:rPr>
              <w:t xml:space="preserve">Film 3: The </w:t>
            </w:r>
            <w:proofErr w:type="spellStart"/>
            <w:r w:rsidRPr="004133D0">
              <w:rPr>
                <w:sz w:val="20"/>
                <w:szCs w:val="20"/>
              </w:rPr>
              <w:t>Baader</w:t>
            </w:r>
            <w:proofErr w:type="spellEnd"/>
            <w:r w:rsidRPr="004133D0">
              <w:rPr>
                <w:sz w:val="20"/>
                <w:szCs w:val="20"/>
              </w:rPr>
              <w:t xml:space="preserve"> </w:t>
            </w:r>
            <w:proofErr w:type="spellStart"/>
            <w:r w:rsidRPr="004133D0">
              <w:rPr>
                <w:sz w:val="20"/>
                <w:szCs w:val="20"/>
              </w:rPr>
              <w:t>Meinhof</w:t>
            </w:r>
            <w:proofErr w:type="spellEnd"/>
            <w:r w:rsidRPr="004133D0">
              <w:rPr>
                <w:sz w:val="20"/>
                <w:szCs w:val="20"/>
              </w:rPr>
              <w:t xml:space="preserve"> Complex</w:t>
            </w:r>
          </w:p>
        </w:tc>
      </w:tr>
      <w:tr w:rsidR="003A3A18" w:rsidRPr="00325DCB" w14:paraId="0536B8BF" w14:textId="77777777" w:rsidTr="003A3A18">
        <w:tc>
          <w:tcPr>
            <w:tcW w:w="705" w:type="dxa"/>
            <w:tcBorders>
              <w:bottom w:val="single" w:sz="4" w:space="0" w:color="auto"/>
            </w:tcBorders>
            <w:shd w:val="clear" w:color="auto" w:fill="FFFFFF"/>
          </w:tcPr>
          <w:p w14:paraId="3631825D" w14:textId="79B8688C" w:rsidR="007552FC" w:rsidRDefault="00DA6DF0" w:rsidP="00DC536A">
            <w:pPr>
              <w:rPr>
                <w:b/>
                <w:sz w:val="20"/>
                <w:szCs w:val="20"/>
              </w:rPr>
            </w:pPr>
            <w:r>
              <w:rPr>
                <w:b/>
                <w:sz w:val="20"/>
                <w:szCs w:val="20"/>
              </w:rPr>
              <w:t>9</w:t>
            </w:r>
          </w:p>
        </w:tc>
        <w:tc>
          <w:tcPr>
            <w:tcW w:w="1005" w:type="dxa"/>
            <w:tcBorders>
              <w:bottom w:val="single" w:sz="4" w:space="0" w:color="auto"/>
            </w:tcBorders>
            <w:shd w:val="clear" w:color="auto" w:fill="FFFFFF"/>
          </w:tcPr>
          <w:p w14:paraId="2462F670" w14:textId="1CFDDDBA" w:rsidR="007552FC" w:rsidRPr="002C19BE" w:rsidRDefault="00311015" w:rsidP="00DC536A">
            <w:pPr>
              <w:rPr>
                <w:b/>
                <w:sz w:val="20"/>
                <w:szCs w:val="20"/>
              </w:rPr>
            </w:pPr>
            <w:r>
              <w:rPr>
                <w:b/>
                <w:sz w:val="20"/>
                <w:szCs w:val="20"/>
              </w:rPr>
              <w:t>10/18-20</w:t>
            </w:r>
          </w:p>
        </w:tc>
        <w:tc>
          <w:tcPr>
            <w:tcW w:w="8640" w:type="dxa"/>
            <w:tcBorders>
              <w:bottom w:val="single" w:sz="4" w:space="0" w:color="auto"/>
            </w:tcBorders>
            <w:shd w:val="clear" w:color="auto" w:fill="FFFFFF"/>
          </w:tcPr>
          <w:p w14:paraId="4BD98B19" w14:textId="5A0D03AF" w:rsidR="002C19BE" w:rsidRPr="004133D0" w:rsidRDefault="002C19BE" w:rsidP="002C19BE">
            <w:pPr>
              <w:jc w:val="center"/>
              <w:rPr>
                <w:b/>
                <w:sz w:val="20"/>
                <w:szCs w:val="20"/>
              </w:rPr>
            </w:pPr>
            <w:r w:rsidRPr="004133D0">
              <w:rPr>
                <w:b/>
                <w:sz w:val="20"/>
                <w:szCs w:val="20"/>
              </w:rPr>
              <w:t>Turning Point: the 1970s</w:t>
            </w:r>
            <w:r w:rsidR="00C0426B" w:rsidRPr="004133D0">
              <w:rPr>
                <w:b/>
                <w:sz w:val="20"/>
                <w:szCs w:val="20"/>
              </w:rPr>
              <w:t xml:space="preserve"> and 1980s</w:t>
            </w:r>
          </w:p>
          <w:p w14:paraId="54DCD81C" w14:textId="77777777" w:rsidR="00541777" w:rsidRPr="004133D0" w:rsidRDefault="00C0426B" w:rsidP="00541777">
            <w:pPr>
              <w:rPr>
                <w:sz w:val="20"/>
                <w:szCs w:val="20"/>
              </w:rPr>
            </w:pPr>
            <w:r w:rsidRPr="004133D0">
              <w:rPr>
                <w:sz w:val="20"/>
                <w:szCs w:val="20"/>
              </w:rPr>
              <w:t xml:space="preserve">Beckett, Thatcher, </w:t>
            </w:r>
            <w:proofErr w:type="spellStart"/>
            <w:r w:rsidRPr="004133D0">
              <w:rPr>
                <w:sz w:val="20"/>
                <w:szCs w:val="20"/>
              </w:rPr>
              <w:t>chs</w:t>
            </w:r>
            <w:proofErr w:type="spellEnd"/>
            <w:r w:rsidRPr="004133D0">
              <w:rPr>
                <w:sz w:val="20"/>
                <w:szCs w:val="20"/>
              </w:rPr>
              <w:t xml:space="preserve">. 6-7 (pp. 86-130); </w:t>
            </w:r>
            <w:r w:rsidR="00DD3F1C" w:rsidRPr="004133D0">
              <w:rPr>
                <w:sz w:val="20"/>
                <w:szCs w:val="20"/>
              </w:rPr>
              <w:t>Hitchcock,</w:t>
            </w:r>
            <w:r w:rsidR="002C19BE" w:rsidRPr="004133D0">
              <w:rPr>
                <w:sz w:val="20"/>
                <w:szCs w:val="20"/>
              </w:rPr>
              <w:t xml:space="preserve"> </w:t>
            </w:r>
            <w:proofErr w:type="spellStart"/>
            <w:r w:rsidR="002C19BE" w:rsidRPr="004133D0">
              <w:rPr>
                <w:sz w:val="20"/>
                <w:szCs w:val="20"/>
              </w:rPr>
              <w:t>chs</w:t>
            </w:r>
            <w:proofErr w:type="spellEnd"/>
            <w:r w:rsidR="002C19BE" w:rsidRPr="004133D0">
              <w:rPr>
                <w:sz w:val="20"/>
                <w:szCs w:val="20"/>
              </w:rPr>
              <w:t>. 10-12 (pp. 269-345)</w:t>
            </w:r>
            <w:r w:rsidR="005E28E5" w:rsidRPr="004133D0">
              <w:rPr>
                <w:sz w:val="20"/>
                <w:szCs w:val="20"/>
              </w:rPr>
              <w:t>.</w:t>
            </w:r>
          </w:p>
          <w:p w14:paraId="0394F990" w14:textId="6EDB022F" w:rsidR="00201E48" w:rsidRPr="004133D0" w:rsidRDefault="00201E48" w:rsidP="00201E48">
            <w:pPr>
              <w:pStyle w:val="ListParagraph"/>
              <w:numPr>
                <w:ilvl w:val="0"/>
                <w:numId w:val="4"/>
              </w:numPr>
              <w:rPr>
                <w:sz w:val="20"/>
                <w:szCs w:val="20"/>
              </w:rPr>
            </w:pPr>
            <w:r w:rsidRPr="004133D0">
              <w:rPr>
                <w:sz w:val="20"/>
                <w:szCs w:val="20"/>
              </w:rPr>
              <w:t>Quiz 2, Thursday, 10/20 in class.</w:t>
            </w:r>
          </w:p>
        </w:tc>
      </w:tr>
      <w:tr w:rsidR="003A3A18" w:rsidRPr="00325DCB" w14:paraId="30611F7F" w14:textId="77777777" w:rsidTr="003A3A18">
        <w:tc>
          <w:tcPr>
            <w:tcW w:w="705" w:type="dxa"/>
            <w:tcBorders>
              <w:bottom w:val="single" w:sz="4" w:space="0" w:color="auto"/>
            </w:tcBorders>
            <w:shd w:val="clear" w:color="auto" w:fill="FFFFFF"/>
          </w:tcPr>
          <w:p w14:paraId="7E2C26BF" w14:textId="4E16072F" w:rsidR="008D52E6" w:rsidRPr="00325DCB" w:rsidRDefault="00DA6DF0" w:rsidP="00DC536A">
            <w:pPr>
              <w:rPr>
                <w:b/>
                <w:sz w:val="20"/>
                <w:szCs w:val="20"/>
              </w:rPr>
            </w:pPr>
            <w:r>
              <w:rPr>
                <w:b/>
                <w:sz w:val="20"/>
                <w:szCs w:val="20"/>
              </w:rPr>
              <w:t>10</w:t>
            </w:r>
          </w:p>
        </w:tc>
        <w:tc>
          <w:tcPr>
            <w:tcW w:w="1005" w:type="dxa"/>
            <w:tcBorders>
              <w:bottom w:val="single" w:sz="4" w:space="0" w:color="auto"/>
            </w:tcBorders>
            <w:shd w:val="clear" w:color="auto" w:fill="FFFFFF"/>
          </w:tcPr>
          <w:p w14:paraId="7ED77AFF" w14:textId="5A949048" w:rsidR="008D52E6" w:rsidRPr="00325DCB" w:rsidRDefault="00311015" w:rsidP="00311015">
            <w:pPr>
              <w:rPr>
                <w:b/>
                <w:sz w:val="20"/>
                <w:szCs w:val="20"/>
              </w:rPr>
            </w:pPr>
            <w:r>
              <w:rPr>
                <w:b/>
                <w:sz w:val="20"/>
                <w:szCs w:val="20"/>
              </w:rPr>
              <w:t>10/25-27</w:t>
            </w:r>
          </w:p>
        </w:tc>
        <w:tc>
          <w:tcPr>
            <w:tcW w:w="8640" w:type="dxa"/>
            <w:tcBorders>
              <w:bottom w:val="single" w:sz="4" w:space="0" w:color="auto"/>
            </w:tcBorders>
            <w:shd w:val="clear" w:color="auto" w:fill="FFFFFF"/>
          </w:tcPr>
          <w:p w14:paraId="7DE6EBDC" w14:textId="79554850" w:rsidR="00A116CF" w:rsidRPr="004133D0" w:rsidRDefault="00A116CF" w:rsidP="00A116CF">
            <w:pPr>
              <w:jc w:val="center"/>
              <w:rPr>
                <w:b/>
                <w:sz w:val="20"/>
                <w:szCs w:val="20"/>
              </w:rPr>
            </w:pPr>
            <w:r w:rsidRPr="004133D0">
              <w:rPr>
                <w:b/>
                <w:sz w:val="20"/>
                <w:szCs w:val="20"/>
              </w:rPr>
              <w:t>The Revolutions of 1989 and the 1990s</w:t>
            </w:r>
          </w:p>
          <w:p w14:paraId="571EB653" w14:textId="6817FA78" w:rsidR="00BE065C" w:rsidRPr="004133D0" w:rsidRDefault="00134096" w:rsidP="001C36F1">
            <w:pPr>
              <w:rPr>
                <w:sz w:val="20"/>
                <w:szCs w:val="20"/>
              </w:rPr>
            </w:pPr>
            <w:proofErr w:type="spellStart"/>
            <w:r w:rsidRPr="004133D0">
              <w:rPr>
                <w:sz w:val="20"/>
                <w:szCs w:val="20"/>
              </w:rPr>
              <w:t>Sarotte</w:t>
            </w:r>
            <w:proofErr w:type="spellEnd"/>
            <w:r w:rsidRPr="004133D0">
              <w:rPr>
                <w:sz w:val="20"/>
                <w:szCs w:val="20"/>
              </w:rPr>
              <w:t xml:space="preserve">, </w:t>
            </w:r>
            <w:r w:rsidRPr="004133D0">
              <w:rPr>
                <w:i/>
                <w:sz w:val="20"/>
                <w:szCs w:val="20"/>
              </w:rPr>
              <w:t>Collapse</w:t>
            </w:r>
            <w:r w:rsidRPr="004133D0">
              <w:rPr>
                <w:sz w:val="20"/>
                <w:szCs w:val="20"/>
              </w:rPr>
              <w:t xml:space="preserve"> (entire, </w:t>
            </w:r>
            <w:r w:rsidR="00C0426B" w:rsidRPr="004133D0">
              <w:rPr>
                <w:sz w:val="20"/>
                <w:szCs w:val="20"/>
              </w:rPr>
              <w:t xml:space="preserve">pp. 1-188); </w:t>
            </w:r>
            <w:r w:rsidR="00A116CF" w:rsidRPr="004133D0">
              <w:rPr>
                <w:sz w:val="20"/>
                <w:szCs w:val="20"/>
              </w:rPr>
              <w:t xml:space="preserve">Hitchcock, </w:t>
            </w:r>
            <w:proofErr w:type="spellStart"/>
            <w:r w:rsidR="00A116CF" w:rsidRPr="004133D0">
              <w:rPr>
                <w:sz w:val="20"/>
                <w:szCs w:val="20"/>
              </w:rPr>
              <w:t>chs</w:t>
            </w:r>
            <w:proofErr w:type="spellEnd"/>
            <w:r w:rsidR="00A116CF" w:rsidRPr="004133D0">
              <w:rPr>
                <w:sz w:val="20"/>
                <w:szCs w:val="20"/>
              </w:rPr>
              <w:t>. 13-14 (pp. 347-409)</w:t>
            </w:r>
            <w:r w:rsidR="00157189" w:rsidRPr="004133D0">
              <w:rPr>
                <w:sz w:val="20"/>
                <w:szCs w:val="20"/>
              </w:rPr>
              <w:t>.</w:t>
            </w:r>
          </w:p>
          <w:p w14:paraId="4ACCDDAD" w14:textId="20314BFE" w:rsidR="00C44E91" w:rsidRPr="004133D0" w:rsidRDefault="00201E48" w:rsidP="00201E48">
            <w:pPr>
              <w:pStyle w:val="ListParagraph"/>
              <w:numPr>
                <w:ilvl w:val="0"/>
                <w:numId w:val="4"/>
              </w:numPr>
              <w:rPr>
                <w:sz w:val="20"/>
                <w:szCs w:val="20"/>
              </w:rPr>
            </w:pPr>
            <w:r w:rsidRPr="004133D0">
              <w:rPr>
                <w:sz w:val="20"/>
                <w:szCs w:val="20"/>
              </w:rPr>
              <w:t>Film 4</w:t>
            </w:r>
            <w:r w:rsidR="007C5CC9" w:rsidRPr="004133D0">
              <w:rPr>
                <w:sz w:val="20"/>
                <w:szCs w:val="20"/>
              </w:rPr>
              <w:t xml:space="preserve">  The  Lives of Others</w:t>
            </w:r>
            <w:r w:rsidR="00CC0F8F" w:rsidRPr="004133D0">
              <w:rPr>
                <w:sz w:val="20"/>
                <w:szCs w:val="20"/>
              </w:rPr>
              <w:t>.</w:t>
            </w:r>
          </w:p>
        </w:tc>
      </w:tr>
      <w:tr w:rsidR="003A3A18" w:rsidRPr="00325DCB" w14:paraId="1C1184D2" w14:textId="77777777" w:rsidTr="003A3A18">
        <w:tc>
          <w:tcPr>
            <w:tcW w:w="705" w:type="dxa"/>
            <w:tcBorders>
              <w:bottom w:val="single" w:sz="4" w:space="0" w:color="auto"/>
            </w:tcBorders>
            <w:shd w:val="clear" w:color="auto" w:fill="E0E0E0"/>
          </w:tcPr>
          <w:p w14:paraId="75A7B10F" w14:textId="77777777" w:rsidR="00AB343E" w:rsidRDefault="00AB343E" w:rsidP="00DC536A">
            <w:pPr>
              <w:rPr>
                <w:b/>
                <w:sz w:val="20"/>
                <w:szCs w:val="20"/>
              </w:rPr>
            </w:pPr>
          </w:p>
        </w:tc>
        <w:tc>
          <w:tcPr>
            <w:tcW w:w="1005" w:type="dxa"/>
            <w:tcBorders>
              <w:bottom w:val="single" w:sz="4" w:space="0" w:color="auto"/>
            </w:tcBorders>
            <w:shd w:val="clear" w:color="auto" w:fill="E0E0E0"/>
          </w:tcPr>
          <w:p w14:paraId="3D407CE1" w14:textId="77777777" w:rsidR="00AB343E" w:rsidRDefault="00AB343E" w:rsidP="00DC536A">
            <w:pPr>
              <w:rPr>
                <w:b/>
                <w:sz w:val="20"/>
                <w:szCs w:val="20"/>
              </w:rPr>
            </w:pPr>
          </w:p>
        </w:tc>
        <w:tc>
          <w:tcPr>
            <w:tcW w:w="8640" w:type="dxa"/>
            <w:tcBorders>
              <w:bottom w:val="single" w:sz="4" w:space="0" w:color="auto"/>
            </w:tcBorders>
            <w:shd w:val="clear" w:color="auto" w:fill="E0E0E0"/>
          </w:tcPr>
          <w:p w14:paraId="6E039FAC" w14:textId="66A42E18" w:rsidR="00AB343E" w:rsidRPr="004133D0" w:rsidRDefault="004D69C6" w:rsidP="00A116CF">
            <w:pPr>
              <w:jc w:val="center"/>
              <w:rPr>
                <w:b/>
                <w:sz w:val="20"/>
                <w:szCs w:val="20"/>
              </w:rPr>
            </w:pPr>
            <w:r w:rsidRPr="004133D0">
              <w:rPr>
                <w:b/>
                <w:sz w:val="20"/>
                <w:szCs w:val="20"/>
              </w:rPr>
              <w:t xml:space="preserve">Part II: </w:t>
            </w:r>
            <w:r w:rsidR="00AB343E" w:rsidRPr="004133D0">
              <w:rPr>
                <w:b/>
                <w:sz w:val="20"/>
                <w:szCs w:val="20"/>
              </w:rPr>
              <w:t>Contemporary Europe</w:t>
            </w:r>
          </w:p>
        </w:tc>
      </w:tr>
      <w:tr w:rsidR="003A3A18" w:rsidRPr="00325DCB" w14:paraId="7173703E" w14:textId="77777777" w:rsidTr="003A3A18">
        <w:trPr>
          <w:trHeight w:val="719"/>
        </w:trPr>
        <w:tc>
          <w:tcPr>
            <w:tcW w:w="705" w:type="dxa"/>
            <w:tcBorders>
              <w:bottom w:val="single" w:sz="4" w:space="0" w:color="auto"/>
            </w:tcBorders>
            <w:shd w:val="clear" w:color="auto" w:fill="FFFFFF"/>
          </w:tcPr>
          <w:p w14:paraId="3AA48558" w14:textId="33A0B42F" w:rsidR="008D52E6" w:rsidRDefault="00DA6DF0" w:rsidP="00DC536A">
            <w:pPr>
              <w:rPr>
                <w:b/>
                <w:sz w:val="20"/>
                <w:szCs w:val="20"/>
              </w:rPr>
            </w:pPr>
            <w:r>
              <w:rPr>
                <w:b/>
                <w:sz w:val="20"/>
                <w:szCs w:val="20"/>
              </w:rPr>
              <w:t>11</w:t>
            </w:r>
          </w:p>
          <w:p w14:paraId="19022953" w14:textId="7899AD91" w:rsidR="007B6CEA" w:rsidRPr="00325DCB" w:rsidRDefault="007B6CEA" w:rsidP="00DC536A">
            <w:pPr>
              <w:rPr>
                <w:b/>
                <w:sz w:val="20"/>
                <w:szCs w:val="20"/>
              </w:rPr>
            </w:pPr>
          </w:p>
        </w:tc>
        <w:tc>
          <w:tcPr>
            <w:tcW w:w="1005" w:type="dxa"/>
            <w:tcBorders>
              <w:bottom w:val="single" w:sz="4" w:space="0" w:color="auto"/>
            </w:tcBorders>
            <w:shd w:val="clear" w:color="auto" w:fill="FFFFFF"/>
          </w:tcPr>
          <w:p w14:paraId="02F814FF" w14:textId="1D55353E" w:rsidR="008D52E6" w:rsidRPr="00325DCB" w:rsidRDefault="00311015" w:rsidP="00DC536A">
            <w:pPr>
              <w:rPr>
                <w:b/>
                <w:sz w:val="20"/>
                <w:szCs w:val="20"/>
              </w:rPr>
            </w:pPr>
            <w:r>
              <w:rPr>
                <w:b/>
                <w:sz w:val="20"/>
                <w:szCs w:val="20"/>
              </w:rPr>
              <w:t>11/1-3</w:t>
            </w:r>
          </w:p>
        </w:tc>
        <w:tc>
          <w:tcPr>
            <w:tcW w:w="8640" w:type="dxa"/>
            <w:tcBorders>
              <w:bottom w:val="single" w:sz="4" w:space="0" w:color="auto"/>
            </w:tcBorders>
            <w:shd w:val="clear" w:color="auto" w:fill="FFFFFF"/>
          </w:tcPr>
          <w:p w14:paraId="51F039C5" w14:textId="36C919DA" w:rsidR="00A116CF" w:rsidRPr="004133D0" w:rsidRDefault="00A116CF" w:rsidP="00A116CF">
            <w:pPr>
              <w:jc w:val="center"/>
              <w:rPr>
                <w:b/>
                <w:sz w:val="20"/>
                <w:szCs w:val="20"/>
              </w:rPr>
            </w:pPr>
            <w:r w:rsidRPr="004133D0">
              <w:rPr>
                <w:b/>
                <w:sz w:val="20"/>
                <w:szCs w:val="20"/>
              </w:rPr>
              <w:t>The Crisis of the Welfare State</w:t>
            </w:r>
            <w:r w:rsidR="00201E48" w:rsidRPr="004133D0">
              <w:rPr>
                <w:b/>
                <w:sz w:val="20"/>
                <w:szCs w:val="20"/>
              </w:rPr>
              <w:t xml:space="preserve"> and Immigration</w:t>
            </w:r>
          </w:p>
          <w:p w14:paraId="024A24D3" w14:textId="70134620" w:rsidR="000B1744" w:rsidRPr="004133D0" w:rsidRDefault="00201E48" w:rsidP="00201E48">
            <w:pPr>
              <w:rPr>
                <w:sz w:val="20"/>
                <w:szCs w:val="20"/>
              </w:rPr>
            </w:pPr>
            <w:r w:rsidRPr="004133D0">
              <w:rPr>
                <w:sz w:val="20"/>
                <w:szCs w:val="20"/>
              </w:rPr>
              <w:t xml:space="preserve">Timothy B. </w:t>
            </w:r>
            <w:r w:rsidR="00A116CF" w:rsidRPr="004133D0">
              <w:rPr>
                <w:sz w:val="20"/>
                <w:szCs w:val="20"/>
              </w:rPr>
              <w:t xml:space="preserve">Smith, </w:t>
            </w:r>
            <w:r w:rsidRPr="004133D0">
              <w:rPr>
                <w:i/>
                <w:sz w:val="20"/>
                <w:szCs w:val="20"/>
              </w:rPr>
              <w:t>France in Crisis: Welfare, Inequality and Globalization since 198</w:t>
            </w:r>
            <w:r w:rsidRPr="004133D0">
              <w:rPr>
                <w:sz w:val="20"/>
                <w:szCs w:val="20"/>
              </w:rPr>
              <w:t xml:space="preserve">0, Preface and </w:t>
            </w:r>
            <w:proofErr w:type="spellStart"/>
            <w:r w:rsidR="00A116CF" w:rsidRPr="004133D0">
              <w:rPr>
                <w:sz w:val="20"/>
                <w:szCs w:val="20"/>
              </w:rPr>
              <w:t>chs</w:t>
            </w:r>
            <w:proofErr w:type="spellEnd"/>
            <w:r w:rsidR="00A116CF" w:rsidRPr="004133D0">
              <w:rPr>
                <w:sz w:val="20"/>
                <w:szCs w:val="20"/>
              </w:rPr>
              <w:t>. 1-3 (pp.</w:t>
            </w:r>
            <w:r w:rsidR="004D69C6" w:rsidRPr="004133D0">
              <w:rPr>
                <w:sz w:val="20"/>
                <w:szCs w:val="20"/>
              </w:rPr>
              <w:t xml:space="preserve"> </w:t>
            </w:r>
            <w:r w:rsidRPr="004133D0">
              <w:rPr>
                <w:sz w:val="20"/>
                <w:szCs w:val="20"/>
              </w:rPr>
              <w:t>viii-53</w:t>
            </w:r>
            <w:r w:rsidR="00D65FBD" w:rsidRPr="004133D0">
              <w:rPr>
                <w:sz w:val="20"/>
                <w:szCs w:val="20"/>
              </w:rPr>
              <w:t>) (Blackboard);</w:t>
            </w:r>
            <w:r w:rsidR="00DD13E4" w:rsidRPr="004133D0">
              <w:rPr>
                <w:sz w:val="20"/>
                <w:szCs w:val="20"/>
              </w:rPr>
              <w:t xml:space="preserve"> </w:t>
            </w:r>
            <w:r w:rsidR="00D65FBD" w:rsidRPr="004133D0">
              <w:rPr>
                <w:sz w:val="20"/>
                <w:szCs w:val="20"/>
              </w:rPr>
              <w:t xml:space="preserve">Hitchcock, </w:t>
            </w:r>
            <w:proofErr w:type="spellStart"/>
            <w:r w:rsidR="00D65FBD" w:rsidRPr="004133D0">
              <w:rPr>
                <w:sz w:val="20"/>
                <w:szCs w:val="20"/>
              </w:rPr>
              <w:t>ch.</w:t>
            </w:r>
            <w:proofErr w:type="spellEnd"/>
            <w:r w:rsidR="00D65FBD" w:rsidRPr="004133D0">
              <w:rPr>
                <w:sz w:val="20"/>
                <w:szCs w:val="20"/>
              </w:rPr>
              <w:t xml:space="preserve"> 15 (pp. 410-34)</w:t>
            </w:r>
            <w:r w:rsidR="003A3A18">
              <w:rPr>
                <w:sz w:val="20"/>
                <w:szCs w:val="20"/>
              </w:rPr>
              <w:t>.</w:t>
            </w:r>
          </w:p>
        </w:tc>
      </w:tr>
      <w:tr w:rsidR="003A3A18" w:rsidRPr="00325DCB" w14:paraId="7E688315" w14:textId="77777777" w:rsidTr="003A3A18">
        <w:tc>
          <w:tcPr>
            <w:tcW w:w="705" w:type="dxa"/>
            <w:tcBorders>
              <w:bottom w:val="single" w:sz="4" w:space="0" w:color="auto"/>
            </w:tcBorders>
            <w:shd w:val="clear" w:color="auto" w:fill="FFFFFF"/>
          </w:tcPr>
          <w:p w14:paraId="033D20F9" w14:textId="60475FAF" w:rsidR="008D52E6" w:rsidRDefault="00DA6DF0" w:rsidP="00DC536A">
            <w:pPr>
              <w:rPr>
                <w:b/>
                <w:sz w:val="20"/>
                <w:szCs w:val="20"/>
              </w:rPr>
            </w:pPr>
            <w:r>
              <w:rPr>
                <w:b/>
                <w:sz w:val="20"/>
                <w:szCs w:val="20"/>
              </w:rPr>
              <w:t>12</w:t>
            </w:r>
          </w:p>
        </w:tc>
        <w:tc>
          <w:tcPr>
            <w:tcW w:w="1005" w:type="dxa"/>
            <w:tcBorders>
              <w:bottom w:val="single" w:sz="4" w:space="0" w:color="auto"/>
            </w:tcBorders>
            <w:shd w:val="clear" w:color="auto" w:fill="FFFFFF"/>
          </w:tcPr>
          <w:p w14:paraId="5B269AA4" w14:textId="625E97DF" w:rsidR="008D52E6" w:rsidRDefault="00311015" w:rsidP="00DC536A">
            <w:pPr>
              <w:rPr>
                <w:b/>
                <w:sz w:val="20"/>
                <w:szCs w:val="20"/>
              </w:rPr>
            </w:pPr>
            <w:r>
              <w:rPr>
                <w:b/>
                <w:sz w:val="20"/>
                <w:szCs w:val="20"/>
              </w:rPr>
              <w:t>11/8-10</w:t>
            </w:r>
          </w:p>
        </w:tc>
        <w:tc>
          <w:tcPr>
            <w:tcW w:w="8640" w:type="dxa"/>
            <w:tcBorders>
              <w:bottom w:val="single" w:sz="4" w:space="0" w:color="auto"/>
            </w:tcBorders>
            <w:shd w:val="clear" w:color="auto" w:fill="FFFFFF"/>
          </w:tcPr>
          <w:p w14:paraId="40A2DF9C" w14:textId="43694B5F" w:rsidR="00160903" w:rsidRPr="004133D0" w:rsidRDefault="00160903" w:rsidP="00160903">
            <w:pPr>
              <w:jc w:val="center"/>
              <w:rPr>
                <w:b/>
                <w:sz w:val="20"/>
                <w:szCs w:val="20"/>
              </w:rPr>
            </w:pPr>
            <w:r w:rsidRPr="004133D0">
              <w:rPr>
                <w:b/>
                <w:sz w:val="20"/>
                <w:szCs w:val="20"/>
              </w:rPr>
              <w:t>Who belongs? Muslims in a Secular Europe</w:t>
            </w:r>
          </w:p>
          <w:p w14:paraId="4BD4CC40" w14:textId="7AD87F4D" w:rsidR="008D52E6" w:rsidRDefault="00160903" w:rsidP="009E4F57">
            <w:pPr>
              <w:rPr>
                <w:sz w:val="20"/>
                <w:szCs w:val="20"/>
              </w:rPr>
            </w:pPr>
            <w:r w:rsidRPr="004133D0">
              <w:rPr>
                <w:sz w:val="20"/>
                <w:szCs w:val="20"/>
              </w:rPr>
              <w:t>Steve Bruce, “The Demise of Christianity in Britain</w:t>
            </w:r>
            <w:r w:rsidR="009E4F57" w:rsidRPr="004133D0">
              <w:rPr>
                <w:sz w:val="20"/>
                <w:szCs w:val="20"/>
              </w:rPr>
              <w:t>,</w:t>
            </w:r>
            <w:r w:rsidRPr="004133D0">
              <w:rPr>
                <w:sz w:val="20"/>
                <w:szCs w:val="20"/>
              </w:rPr>
              <w:t>”</w:t>
            </w:r>
            <w:r w:rsidR="009E4F57" w:rsidRPr="004133D0">
              <w:rPr>
                <w:sz w:val="20"/>
                <w:szCs w:val="20"/>
              </w:rPr>
              <w:t xml:space="preserve"> pp. 53-63 in Grace Davie et al., eds. </w:t>
            </w:r>
            <w:r w:rsidR="009E4F57" w:rsidRPr="004133D0">
              <w:rPr>
                <w:i/>
                <w:sz w:val="20"/>
                <w:szCs w:val="20"/>
              </w:rPr>
              <w:t xml:space="preserve">Predicting Religion </w:t>
            </w:r>
            <w:r w:rsidR="009E4F57" w:rsidRPr="004133D0">
              <w:rPr>
                <w:sz w:val="20"/>
                <w:szCs w:val="20"/>
              </w:rPr>
              <w:t>(2003)</w:t>
            </w:r>
            <w:r w:rsidRPr="004133D0">
              <w:rPr>
                <w:sz w:val="20"/>
                <w:szCs w:val="20"/>
              </w:rPr>
              <w:t>; “Europe’s Empty Churches Go On Sale,” WSJ, 01/02/2015;</w:t>
            </w:r>
            <w:r w:rsidR="00397600" w:rsidRPr="004133D0">
              <w:rPr>
                <w:sz w:val="20"/>
                <w:szCs w:val="20"/>
              </w:rPr>
              <w:t xml:space="preserve"> Marvin Perry et al., ed., </w:t>
            </w:r>
            <w:r w:rsidR="00397600" w:rsidRPr="004133D0">
              <w:rPr>
                <w:i/>
                <w:sz w:val="20"/>
                <w:szCs w:val="20"/>
              </w:rPr>
              <w:t xml:space="preserve">Sources of European History since 1900 </w:t>
            </w:r>
            <w:r w:rsidR="00397600" w:rsidRPr="004133D0">
              <w:rPr>
                <w:sz w:val="20"/>
                <w:szCs w:val="20"/>
              </w:rPr>
              <w:t>(2011)</w:t>
            </w:r>
            <w:r w:rsidR="009E4F57" w:rsidRPr="004133D0">
              <w:rPr>
                <w:sz w:val="20"/>
                <w:szCs w:val="20"/>
              </w:rPr>
              <w:t>, section on “Islam in Europe: Failure of Assimilation and the Threat of Terrorism,” pp. 474-485;</w:t>
            </w:r>
            <w:r w:rsidR="00397600" w:rsidRPr="004133D0">
              <w:rPr>
                <w:sz w:val="20"/>
                <w:szCs w:val="20"/>
              </w:rPr>
              <w:t xml:space="preserve"> Equality and Human Rights Commission  (UK)</w:t>
            </w:r>
            <w:r w:rsidR="009E4F57" w:rsidRPr="004133D0">
              <w:rPr>
                <w:sz w:val="20"/>
                <w:szCs w:val="20"/>
              </w:rPr>
              <w:t xml:space="preserve"> ed.</w:t>
            </w:r>
            <w:r w:rsidR="00397600" w:rsidRPr="004133D0">
              <w:rPr>
                <w:sz w:val="20"/>
                <w:szCs w:val="20"/>
              </w:rPr>
              <w:t xml:space="preserve">, </w:t>
            </w:r>
            <w:r w:rsidR="00397600" w:rsidRPr="004133D0">
              <w:rPr>
                <w:i/>
                <w:sz w:val="20"/>
                <w:szCs w:val="20"/>
              </w:rPr>
              <w:t>Healing a Divided Britain: The Need for a Comprehensive Race Equality Strategy</w:t>
            </w:r>
            <w:r w:rsidR="00397600" w:rsidRPr="004133D0">
              <w:rPr>
                <w:sz w:val="20"/>
                <w:szCs w:val="20"/>
              </w:rPr>
              <w:t xml:space="preserve"> (2016)</w:t>
            </w:r>
            <w:r w:rsidR="003A3A18">
              <w:rPr>
                <w:sz w:val="20"/>
                <w:szCs w:val="20"/>
              </w:rPr>
              <w:t>,</w:t>
            </w:r>
            <w:r w:rsidR="00397600" w:rsidRPr="004133D0">
              <w:rPr>
                <w:sz w:val="20"/>
                <w:szCs w:val="20"/>
              </w:rPr>
              <w:t xml:space="preserve"> </w:t>
            </w:r>
            <w:r w:rsidR="009E4F57" w:rsidRPr="004133D0">
              <w:rPr>
                <w:sz w:val="20"/>
                <w:szCs w:val="20"/>
              </w:rPr>
              <w:t xml:space="preserve">pp. 1-53 </w:t>
            </w:r>
            <w:r w:rsidR="00397600" w:rsidRPr="004133D0">
              <w:rPr>
                <w:sz w:val="20"/>
                <w:szCs w:val="20"/>
              </w:rPr>
              <w:t>(all Blackboard).</w:t>
            </w:r>
          </w:p>
          <w:p w14:paraId="2E763C60" w14:textId="77777777" w:rsidR="004133D0" w:rsidRDefault="004133D0" w:rsidP="004133D0">
            <w:pPr>
              <w:pStyle w:val="ListParagraph"/>
              <w:numPr>
                <w:ilvl w:val="0"/>
                <w:numId w:val="4"/>
              </w:numPr>
              <w:rPr>
                <w:sz w:val="20"/>
                <w:szCs w:val="20"/>
              </w:rPr>
            </w:pPr>
            <w:r>
              <w:rPr>
                <w:sz w:val="20"/>
                <w:szCs w:val="20"/>
              </w:rPr>
              <w:t>Film 5 All White in Barking</w:t>
            </w:r>
          </w:p>
          <w:p w14:paraId="73076988" w14:textId="7994E874" w:rsidR="003A3A18" w:rsidRPr="004133D0" w:rsidRDefault="003A3A18" w:rsidP="004133D0">
            <w:pPr>
              <w:pStyle w:val="ListParagraph"/>
              <w:numPr>
                <w:ilvl w:val="0"/>
                <w:numId w:val="4"/>
              </w:numPr>
              <w:rPr>
                <w:sz w:val="20"/>
                <w:szCs w:val="20"/>
              </w:rPr>
            </w:pPr>
            <w:r>
              <w:rPr>
                <w:sz w:val="20"/>
                <w:szCs w:val="20"/>
              </w:rPr>
              <w:t>Paper 2: due Sunday, November 13, midnight.</w:t>
            </w:r>
          </w:p>
        </w:tc>
      </w:tr>
      <w:tr w:rsidR="003A3A18" w:rsidRPr="00325DCB" w14:paraId="399ACC4A" w14:textId="77777777" w:rsidTr="003A3A18">
        <w:trPr>
          <w:trHeight w:val="224"/>
        </w:trPr>
        <w:tc>
          <w:tcPr>
            <w:tcW w:w="705" w:type="dxa"/>
            <w:shd w:val="clear" w:color="auto" w:fill="FFFFFF"/>
          </w:tcPr>
          <w:p w14:paraId="1A7DDE53" w14:textId="743B1967" w:rsidR="008D52E6" w:rsidRPr="00325DCB" w:rsidRDefault="00DA6DF0" w:rsidP="00DC536A">
            <w:pPr>
              <w:rPr>
                <w:b/>
                <w:sz w:val="20"/>
                <w:szCs w:val="20"/>
              </w:rPr>
            </w:pPr>
            <w:r>
              <w:rPr>
                <w:b/>
                <w:sz w:val="20"/>
                <w:szCs w:val="20"/>
              </w:rPr>
              <w:t>13</w:t>
            </w:r>
          </w:p>
        </w:tc>
        <w:tc>
          <w:tcPr>
            <w:tcW w:w="1005" w:type="dxa"/>
            <w:shd w:val="clear" w:color="auto" w:fill="FFFFFF"/>
          </w:tcPr>
          <w:p w14:paraId="69C6CF52" w14:textId="604F7CB8" w:rsidR="008D52E6" w:rsidRPr="00325DCB" w:rsidRDefault="00311015" w:rsidP="00DC536A">
            <w:pPr>
              <w:rPr>
                <w:b/>
                <w:sz w:val="20"/>
                <w:szCs w:val="20"/>
              </w:rPr>
            </w:pPr>
            <w:r>
              <w:rPr>
                <w:b/>
                <w:sz w:val="20"/>
                <w:szCs w:val="20"/>
              </w:rPr>
              <w:t>11/15-17</w:t>
            </w:r>
          </w:p>
        </w:tc>
        <w:tc>
          <w:tcPr>
            <w:tcW w:w="8640" w:type="dxa"/>
            <w:tcBorders>
              <w:bottom w:val="single" w:sz="4" w:space="0" w:color="auto"/>
            </w:tcBorders>
            <w:shd w:val="clear" w:color="auto" w:fill="FFFFFF"/>
          </w:tcPr>
          <w:p w14:paraId="08DFC250" w14:textId="77777777" w:rsidR="00902B4E" w:rsidRPr="004133D0" w:rsidRDefault="00902B4E" w:rsidP="00902B4E">
            <w:pPr>
              <w:jc w:val="center"/>
              <w:rPr>
                <w:b/>
                <w:sz w:val="20"/>
                <w:szCs w:val="20"/>
              </w:rPr>
            </w:pPr>
            <w:r w:rsidRPr="004133D0">
              <w:rPr>
                <w:b/>
                <w:sz w:val="20"/>
                <w:szCs w:val="20"/>
              </w:rPr>
              <w:t>Right-wing Populism</w:t>
            </w:r>
          </w:p>
          <w:p w14:paraId="1358329F" w14:textId="3C0CA2F8" w:rsidR="008D52E6" w:rsidRPr="004133D0" w:rsidRDefault="00902B4E" w:rsidP="00902B4E">
            <w:pPr>
              <w:rPr>
                <w:sz w:val="20"/>
                <w:szCs w:val="20"/>
              </w:rPr>
            </w:pPr>
            <w:r w:rsidRPr="004133D0">
              <w:rPr>
                <w:sz w:val="20"/>
                <w:szCs w:val="20"/>
              </w:rPr>
              <w:t>Hans-Georg</w:t>
            </w:r>
            <w:r w:rsidR="004133D0">
              <w:rPr>
                <w:sz w:val="20"/>
                <w:szCs w:val="20"/>
              </w:rPr>
              <w:t xml:space="preserve"> Betz, “Mosques, Minarets, Burq</w:t>
            </w:r>
            <w:r w:rsidRPr="004133D0">
              <w:rPr>
                <w:sz w:val="20"/>
                <w:szCs w:val="20"/>
              </w:rPr>
              <w:t xml:space="preserve">as and Other Essential Threats: The Populist Right’s Campaign against Islam in Western Europe,” pp. 71-87; John </w:t>
            </w:r>
            <w:proofErr w:type="spellStart"/>
            <w:r w:rsidRPr="004133D0">
              <w:rPr>
                <w:sz w:val="20"/>
                <w:szCs w:val="20"/>
              </w:rPr>
              <w:t>Solomos</w:t>
            </w:r>
            <w:proofErr w:type="spellEnd"/>
            <w:r w:rsidRPr="004133D0">
              <w:rPr>
                <w:sz w:val="20"/>
                <w:szCs w:val="20"/>
              </w:rPr>
              <w:t xml:space="preserve">, “Contemporary Forms of Racist Movements and Mobilization in Britain,” pp. 121-33; Kristina </w:t>
            </w:r>
            <w:proofErr w:type="spellStart"/>
            <w:r w:rsidRPr="004133D0">
              <w:rPr>
                <w:sz w:val="20"/>
                <w:szCs w:val="20"/>
              </w:rPr>
              <w:t>Boréus</w:t>
            </w:r>
            <w:proofErr w:type="spellEnd"/>
            <w:r w:rsidRPr="004133D0">
              <w:rPr>
                <w:sz w:val="20"/>
                <w:szCs w:val="20"/>
              </w:rPr>
              <w:t xml:space="preserve">, “Nationalism and Discursive Discrimination against Immigrants in Austria, Denmark and Sweden,” pp. 293-307; all in Ruth </w:t>
            </w:r>
            <w:proofErr w:type="spellStart"/>
            <w:r w:rsidRPr="004133D0">
              <w:rPr>
                <w:sz w:val="20"/>
                <w:szCs w:val="20"/>
              </w:rPr>
              <w:t>Wodak</w:t>
            </w:r>
            <w:proofErr w:type="spellEnd"/>
            <w:r w:rsidRPr="004133D0">
              <w:rPr>
                <w:sz w:val="20"/>
                <w:szCs w:val="20"/>
              </w:rPr>
              <w:t xml:space="preserve"> et al., ed. </w:t>
            </w:r>
            <w:r w:rsidRPr="004133D0">
              <w:rPr>
                <w:i/>
                <w:sz w:val="20"/>
                <w:szCs w:val="20"/>
              </w:rPr>
              <w:t>Right-Wing Populism in Europe</w:t>
            </w:r>
            <w:r w:rsidRPr="004133D0">
              <w:rPr>
                <w:sz w:val="20"/>
                <w:szCs w:val="20"/>
              </w:rPr>
              <w:t xml:space="preserve"> (2013) (all Blackboard).</w:t>
            </w:r>
          </w:p>
        </w:tc>
      </w:tr>
      <w:tr w:rsidR="003A3A18" w:rsidRPr="00325DCB" w14:paraId="0A17C2EE" w14:textId="77777777" w:rsidTr="003A3A18">
        <w:tc>
          <w:tcPr>
            <w:tcW w:w="705" w:type="dxa"/>
            <w:shd w:val="clear" w:color="auto" w:fill="FFFFFF"/>
          </w:tcPr>
          <w:p w14:paraId="215C8EB8" w14:textId="77777777" w:rsidR="004C6671" w:rsidRDefault="004C6671" w:rsidP="00DC536A">
            <w:pPr>
              <w:rPr>
                <w:b/>
                <w:sz w:val="20"/>
                <w:szCs w:val="20"/>
              </w:rPr>
            </w:pPr>
          </w:p>
        </w:tc>
        <w:tc>
          <w:tcPr>
            <w:tcW w:w="1005" w:type="dxa"/>
            <w:shd w:val="clear" w:color="auto" w:fill="FFFFFF"/>
          </w:tcPr>
          <w:p w14:paraId="76DBFEDC" w14:textId="60A54A83" w:rsidR="004C6671" w:rsidRDefault="004C6671" w:rsidP="002C19BE">
            <w:pPr>
              <w:rPr>
                <w:b/>
                <w:sz w:val="20"/>
                <w:szCs w:val="20"/>
              </w:rPr>
            </w:pPr>
            <w:r>
              <w:rPr>
                <w:b/>
                <w:sz w:val="20"/>
                <w:szCs w:val="20"/>
              </w:rPr>
              <w:t>11/22-24</w:t>
            </w:r>
          </w:p>
        </w:tc>
        <w:tc>
          <w:tcPr>
            <w:tcW w:w="8640" w:type="dxa"/>
            <w:shd w:val="clear" w:color="auto" w:fill="FFFFFF"/>
          </w:tcPr>
          <w:p w14:paraId="70CD2BD7" w14:textId="4C9DE69F" w:rsidR="004C6671" w:rsidRPr="004133D0" w:rsidRDefault="004C6671" w:rsidP="00134096">
            <w:pPr>
              <w:jc w:val="center"/>
              <w:rPr>
                <w:b/>
                <w:sz w:val="20"/>
                <w:szCs w:val="20"/>
              </w:rPr>
            </w:pPr>
            <w:r w:rsidRPr="004133D0">
              <w:rPr>
                <w:b/>
                <w:sz w:val="20"/>
                <w:szCs w:val="20"/>
              </w:rPr>
              <w:t>Thanksgiving Week</w:t>
            </w:r>
          </w:p>
        </w:tc>
      </w:tr>
      <w:tr w:rsidR="003A3A18" w:rsidRPr="00325DCB" w14:paraId="2B1F89F3" w14:textId="77777777" w:rsidTr="003A3A18">
        <w:tc>
          <w:tcPr>
            <w:tcW w:w="705" w:type="dxa"/>
            <w:shd w:val="clear" w:color="auto" w:fill="FFFFFF"/>
          </w:tcPr>
          <w:p w14:paraId="66CE2C34" w14:textId="73FBF688" w:rsidR="002C19BE" w:rsidRDefault="002C19BE" w:rsidP="00DC536A">
            <w:pPr>
              <w:rPr>
                <w:b/>
                <w:sz w:val="20"/>
                <w:szCs w:val="20"/>
              </w:rPr>
            </w:pPr>
            <w:r>
              <w:rPr>
                <w:b/>
                <w:sz w:val="20"/>
                <w:szCs w:val="20"/>
              </w:rPr>
              <w:t>14</w:t>
            </w:r>
          </w:p>
        </w:tc>
        <w:tc>
          <w:tcPr>
            <w:tcW w:w="1005" w:type="dxa"/>
            <w:shd w:val="clear" w:color="auto" w:fill="FFFFFF"/>
          </w:tcPr>
          <w:p w14:paraId="0E82BE08" w14:textId="6EFFD20B" w:rsidR="002C19BE" w:rsidRDefault="004C6671" w:rsidP="002C19BE">
            <w:pPr>
              <w:rPr>
                <w:b/>
                <w:sz w:val="20"/>
                <w:szCs w:val="20"/>
              </w:rPr>
            </w:pPr>
            <w:r>
              <w:rPr>
                <w:b/>
                <w:sz w:val="20"/>
                <w:szCs w:val="20"/>
              </w:rPr>
              <w:t>11/29-12/1</w:t>
            </w:r>
          </w:p>
        </w:tc>
        <w:tc>
          <w:tcPr>
            <w:tcW w:w="8640" w:type="dxa"/>
            <w:shd w:val="clear" w:color="auto" w:fill="FFFFFF"/>
          </w:tcPr>
          <w:p w14:paraId="1ED7EA41" w14:textId="70537D1D" w:rsidR="00902B4E" w:rsidRPr="004133D0" w:rsidRDefault="002C19BE" w:rsidP="00902B4E">
            <w:pPr>
              <w:jc w:val="center"/>
              <w:rPr>
                <w:b/>
                <w:sz w:val="20"/>
                <w:szCs w:val="20"/>
              </w:rPr>
            </w:pPr>
            <w:r w:rsidRPr="004133D0">
              <w:rPr>
                <w:b/>
                <w:sz w:val="20"/>
                <w:szCs w:val="20"/>
              </w:rPr>
              <w:t>Outlook</w:t>
            </w:r>
            <w:r w:rsidR="00134096" w:rsidRPr="004133D0">
              <w:rPr>
                <w:b/>
                <w:sz w:val="20"/>
                <w:szCs w:val="20"/>
              </w:rPr>
              <w:t xml:space="preserve"> and Review</w:t>
            </w:r>
            <w:r w:rsidR="00902B4E" w:rsidRPr="004133D0">
              <w:rPr>
                <w:b/>
                <w:sz w:val="20"/>
                <w:szCs w:val="20"/>
              </w:rPr>
              <w:t>: The Euro, Brexit, Terrorism</w:t>
            </w:r>
          </w:p>
          <w:p w14:paraId="48C0E50A" w14:textId="751D44BF" w:rsidR="00902B4E" w:rsidRPr="004133D0" w:rsidRDefault="00902B4E" w:rsidP="00902B4E">
            <w:pPr>
              <w:rPr>
                <w:sz w:val="20"/>
                <w:szCs w:val="20"/>
              </w:rPr>
            </w:pPr>
            <w:r w:rsidRPr="004133D0">
              <w:rPr>
                <w:sz w:val="20"/>
                <w:szCs w:val="20"/>
              </w:rPr>
              <w:t xml:space="preserve">Selections from Joseph Stiglitz, </w:t>
            </w:r>
            <w:r w:rsidRPr="004133D0">
              <w:rPr>
                <w:i/>
                <w:sz w:val="20"/>
                <w:szCs w:val="20"/>
              </w:rPr>
              <w:t xml:space="preserve">The Euro: How A Common Currency Threatens the Future of Europe </w:t>
            </w:r>
            <w:r w:rsidRPr="004133D0">
              <w:rPr>
                <w:sz w:val="20"/>
                <w:szCs w:val="20"/>
              </w:rPr>
              <w:t xml:space="preserve">(2016); other readings </w:t>
            </w:r>
            <w:proofErr w:type="spellStart"/>
            <w:r w:rsidRPr="004133D0">
              <w:rPr>
                <w:sz w:val="20"/>
                <w:szCs w:val="20"/>
              </w:rPr>
              <w:t>t.b.a</w:t>
            </w:r>
            <w:proofErr w:type="spellEnd"/>
            <w:r w:rsidRPr="004133D0">
              <w:rPr>
                <w:sz w:val="20"/>
                <w:szCs w:val="20"/>
              </w:rPr>
              <w:t>.</w:t>
            </w:r>
          </w:p>
        </w:tc>
      </w:tr>
      <w:tr w:rsidR="003A3A18" w:rsidRPr="00325DCB" w14:paraId="55CD8A87" w14:textId="77777777" w:rsidTr="003A3A18">
        <w:tc>
          <w:tcPr>
            <w:tcW w:w="705" w:type="dxa"/>
            <w:shd w:val="clear" w:color="auto" w:fill="FFFFFF"/>
          </w:tcPr>
          <w:p w14:paraId="77E7F109" w14:textId="418C5E59" w:rsidR="008D52E6" w:rsidRPr="00325DCB" w:rsidRDefault="00902B4E" w:rsidP="00DC536A">
            <w:pPr>
              <w:rPr>
                <w:b/>
                <w:sz w:val="20"/>
                <w:szCs w:val="20"/>
              </w:rPr>
            </w:pPr>
            <w:r>
              <w:rPr>
                <w:b/>
                <w:sz w:val="20"/>
                <w:szCs w:val="20"/>
              </w:rPr>
              <w:t>15</w:t>
            </w:r>
          </w:p>
        </w:tc>
        <w:tc>
          <w:tcPr>
            <w:tcW w:w="1005" w:type="dxa"/>
            <w:shd w:val="clear" w:color="auto" w:fill="FFFFFF"/>
          </w:tcPr>
          <w:p w14:paraId="1816E6A0" w14:textId="06C95041" w:rsidR="008D52E6" w:rsidRDefault="004C6671" w:rsidP="00DC536A">
            <w:pPr>
              <w:rPr>
                <w:b/>
                <w:sz w:val="20"/>
                <w:szCs w:val="20"/>
              </w:rPr>
            </w:pPr>
            <w:r>
              <w:rPr>
                <w:b/>
                <w:sz w:val="20"/>
                <w:szCs w:val="20"/>
              </w:rPr>
              <w:t>12/8</w:t>
            </w:r>
          </w:p>
        </w:tc>
        <w:tc>
          <w:tcPr>
            <w:tcW w:w="8640" w:type="dxa"/>
            <w:shd w:val="clear" w:color="auto" w:fill="FFFFFF"/>
          </w:tcPr>
          <w:p w14:paraId="419A4172" w14:textId="69BE70CE" w:rsidR="00B45361" w:rsidRPr="004133D0" w:rsidRDefault="008D52E6" w:rsidP="004C6671">
            <w:pPr>
              <w:pStyle w:val="ListParagraph"/>
              <w:numPr>
                <w:ilvl w:val="0"/>
                <w:numId w:val="4"/>
              </w:numPr>
              <w:rPr>
                <w:sz w:val="20"/>
                <w:szCs w:val="20"/>
              </w:rPr>
            </w:pPr>
            <w:r w:rsidRPr="004133D0">
              <w:rPr>
                <w:sz w:val="20"/>
                <w:szCs w:val="20"/>
              </w:rPr>
              <w:t>Fi</w:t>
            </w:r>
            <w:r w:rsidR="00D20066" w:rsidRPr="004133D0">
              <w:rPr>
                <w:sz w:val="20"/>
                <w:szCs w:val="20"/>
              </w:rPr>
              <w:t xml:space="preserve">nal Examination: Thursday, </w:t>
            </w:r>
            <w:r w:rsidR="004C6671" w:rsidRPr="004133D0">
              <w:rPr>
                <w:sz w:val="20"/>
                <w:szCs w:val="20"/>
              </w:rPr>
              <w:t>December 8</w:t>
            </w:r>
            <w:r w:rsidR="00F219DB" w:rsidRPr="004133D0">
              <w:rPr>
                <w:sz w:val="20"/>
                <w:szCs w:val="20"/>
              </w:rPr>
              <w:t xml:space="preserve">, noon, in Croft </w:t>
            </w:r>
            <w:r w:rsidR="00D20066" w:rsidRPr="004133D0">
              <w:rPr>
                <w:sz w:val="20"/>
                <w:szCs w:val="20"/>
              </w:rPr>
              <w:t>204</w:t>
            </w:r>
          </w:p>
        </w:tc>
      </w:tr>
    </w:tbl>
    <w:p w14:paraId="0DE1FC99" w14:textId="77777777" w:rsidR="00397600" w:rsidRDefault="00397600" w:rsidP="005437C6"/>
    <w:p w14:paraId="4C0FB596" w14:textId="6A20A0BD" w:rsidR="009355F2" w:rsidRDefault="009355F2" w:rsidP="0041506A">
      <w:pPr>
        <w:jc w:val="center"/>
      </w:pPr>
      <w:r>
        <w:t>Bibliography of material posted on Blackboard</w:t>
      </w:r>
    </w:p>
    <w:p w14:paraId="3909F1E5" w14:textId="77777777" w:rsidR="0041506A" w:rsidRDefault="0041506A" w:rsidP="0041506A">
      <w:pPr>
        <w:jc w:val="center"/>
      </w:pPr>
    </w:p>
    <w:p w14:paraId="11B615DC" w14:textId="11D1CF4A" w:rsidR="009355F2" w:rsidRPr="00883640" w:rsidRDefault="0041506A" w:rsidP="0041506A">
      <w:pPr>
        <w:rPr>
          <w:sz w:val="21"/>
          <w:szCs w:val="21"/>
        </w:rPr>
      </w:pPr>
      <w:proofErr w:type="spellStart"/>
      <w:r w:rsidRPr="00883640">
        <w:rPr>
          <w:sz w:val="21"/>
          <w:szCs w:val="21"/>
        </w:rPr>
        <w:t>Bendavid</w:t>
      </w:r>
      <w:proofErr w:type="spellEnd"/>
      <w:r w:rsidRPr="00883640">
        <w:rPr>
          <w:sz w:val="21"/>
          <w:szCs w:val="21"/>
        </w:rPr>
        <w:t>, Naftali.  “Europe’s Empty Churches Go on Sale.  Wall Street Journal, January 2, 2015.  Online.  Accessed, August 22, 2016.  http://www.wsj.com/articles/europes-empty-churches-go-on-sale-1420245359.</w:t>
      </w:r>
    </w:p>
    <w:p w14:paraId="60494870" w14:textId="77777777" w:rsidR="0041506A" w:rsidRPr="00883640" w:rsidRDefault="0041506A" w:rsidP="00647599">
      <w:pPr>
        <w:rPr>
          <w:sz w:val="21"/>
          <w:szCs w:val="21"/>
        </w:rPr>
      </w:pPr>
    </w:p>
    <w:p w14:paraId="44627E2D" w14:textId="758F33B1" w:rsidR="00647599" w:rsidRPr="00883640" w:rsidRDefault="00647599" w:rsidP="00647599">
      <w:pPr>
        <w:rPr>
          <w:sz w:val="21"/>
          <w:szCs w:val="21"/>
        </w:rPr>
      </w:pPr>
      <w:r w:rsidRPr="00883640">
        <w:rPr>
          <w:sz w:val="21"/>
          <w:szCs w:val="21"/>
        </w:rPr>
        <w:t>Betz, Hans-Georg.  “Mosques, Minarets, Burqas and Other Essential Threats: The Populist Right’s Campaign against Islam in Western Europe.”  In</w:t>
      </w:r>
      <w:r w:rsidR="0041506A" w:rsidRPr="00883640">
        <w:rPr>
          <w:sz w:val="21"/>
          <w:szCs w:val="21"/>
        </w:rPr>
        <w:t xml:space="preserve"> </w:t>
      </w:r>
      <w:r w:rsidRPr="00883640">
        <w:rPr>
          <w:i/>
          <w:sz w:val="21"/>
          <w:szCs w:val="21"/>
        </w:rPr>
        <w:t xml:space="preserve">Right-Wing Populism in Europe: Politics and Discourse.  </w:t>
      </w:r>
      <w:r w:rsidRPr="00883640">
        <w:rPr>
          <w:sz w:val="21"/>
          <w:szCs w:val="21"/>
        </w:rPr>
        <w:t xml:space="preserve">Edited by Ruth </w:t>
      </w:r>
      <w:proofErr w:type="spellStart"/>
      <w:r w:rsidRPr="00883640">
        <w:rPr>
          <w:sz w:val="21"/>
          <w:szCs w:val="21"/>
        </w:rPr>
        <w:t>Wodak</w:t>
      </w:r>
      <w:proofErr w:type="spellEnd"/>
      <w:r w:rsidRPr="00883640">
        <w:rPr>
          <w:sz w:val="21"/>
          <w:szCs w:val="21"/>
        </w:rPr>
        <w:t xml:space="preserve"> et al</w:t>
      </w:r>
      <w:r w:rsidRPr="00883640">
        <w:rPr>
          <w:i/>
          <w:sz w:val="21"/>
          <w:szCs w:val="21"/>
        </w:rPr>
        <w:t>.</w:t>
      </w:r>
      <w:r w:rsidR="0041506A" w:rsidRPr="00883640">
        <w:rPr>
          <w:sz w:val="21"/>
          <w:szCs w:val="21"/>
        </w:rPr>
        <w:t>,</w:t>
      </w:r>
      <w:r w:rsidRPr="00883640">
        <w:rPr>
          <w:i/>
          <w:sz w:val="21"/>
          <w:szCs w:val="21"/>
        </w:rPr>
        <w:t xml:space="preserve"> </w:t>
      </w:r>
      <w:r w:rsidRPr="00883640">
        <w:rPr>
          <w:sz w:val="21"/>
          <w:szCs w:val="21"/>
        </w:rPr>
        <w:t>71-87.  London: Bloomsbury, 2013</w:t>
      </w:r>
      <w:r w:rsidR="0041506A" w:rsidRPr="00883640">
        <w:rPr>
          <w:sz w:val="21"/>
          <w:szCs w:val="21"/>
        </w:rPr>
        <w:t>.</w:t>
      </w:r>
    </w:p>
    <w:p w14:paraId="58C99FB9" w14:textId="77777777" w:rsidR="0041506A" w:rsidRPr="00883640" w:rsidRDefault="0041506A" w:rsidP="00647599">
      <w:pPr>
        <w:rPr>
          <w:sz w:val="21"/>
          <w:szCs w:val="21"/>
        </w:rPr>
      </w:pPr>
    </w:p>
    <w:p w14:paraId="4A0165DB" w14:textId="6895CEB1" w:rsidR="0041506A" w:rsidRPr="00883640" w:rsidRDefault="0041506A" w:rsidP="00647599">
      <w:pPr>
        <w:rPr>
          <w:sz w:val="21"/>
          <w:szCs w:val="21"/>
        </w:rPr>
      </w:pPr>
      <w:proofErr w:type="spellStart"/>
      <w:r w:rsidRPr="00883640">
        <w:rPr>
          <w:sz w:val="21"/>
          <w:szCs w:val="21"/>
        </w:rPr>
        <w:t>Boréus</w:t>
      </w:r>
      <w:proofErr w:type="spellEnd"/>
      <w:r w:rsidRPr="00883640">
        <w:rPr>
          <w:sz w:val="21"/>
          <w:szCs w:val="21"/>
        </w:rPr>
        <w:t xml:space="preserve">, Kristina.  Nationalism and Discursive Discrimination Against Immigrants in Austria, </w:t>
      </w:r>
      <w:proofErr w:type="spellStart"/>
      <w:r w:rsidRPr="00883640">
        <w:rPr>
          <w:sz w:val="21"/>
          <w:szCs w:val="21"/>
        </w:rPr>
        <w:t>Denmakr</w:t>
      </w:r>
      <w:proofErr w:type="spellEnd"/>
      <w:r w:rsidRPr="00883640">
        <w:rPr>
          <w:sz w:val="21"/>
          <w:szCs w:val="21"/>
        </w:rPr>
        <w:t xml:space="preserve">, and Sweden.” In </w:t>
      </w:r>
      <w:r w:rsidRPr="00883640">
        <w:rPr>
          <w:i/>
          <w:sz w:val="21"/>
          <w:szCs w:val="21"/>
        </w:rPr>
        <w:t xml:space="preserve">Right-Wing Populism in Europe: Politics and Discourse.  </w:t>
      </w:r>
      <w:r w:rsidRPr="00883640">
        <w:rPr>
          <w:sz w:val="21"/>
          <w:szCs w:val="21"/>
        </w:rPr>
        <w:t xml:space="preserve">Edited by Ruth </w:t>
      </w:r>
      <w:proofErr w:type="spellStart"/>
      <w:r w:rsidRPr="00883640">
        <w:rPr>
          <w:sz w:val="21"/>
          <w:szCs w:val="21"/>
        </w:rPr>
        <w:t>Wodak</w:t>
      </w:r>
      <w:proofErr w:type="spellEnd"/>
      <w:r w:rsidRPr="00883640">
        <w:rPr>
          <w:sz w:val="21"/>
          <w:szCs w:val="21"/>
        </w:rPr>
        <w:t xml:space="preserve"> et al</w:t>
      </w:r>
      <w:r w:rsidRPr="00883640">
        <w:rPr>
          <w:i/>
          <w:sz w:val="21"/>
          <w:szCs w:val="21"/>
        </w:rPr>
        <w:t>.</w:t>
      </w:r>
      <w:r w:rsidRPr="00883640">
        <w:rPr>
          <w:sz w:val="21"/>
          <w:szCs w:val="21"/>
        </w:rPr>
        <w:t>,</w:t>
      </w:r>
      <w:r w:rsidRPr="00883640">
        <w:rPr>
          <w:i/>
          <w:sz w:val="21"/>
          <w:szCs w:val="21"/>
        </w:rPr>
        <w:t xml:space="preserve"> </w:t>
      </w:r>
      <w:r w:rsidRPr="00883640">
        <w:rPr>
          <w:sz w:val="21"/>
          <w:szCs w:val="21"/>
        </w:rPr>
        <w:t>293-307.  London: Bloomsbury, 2013.</w:t>
      </w:r>
    </w:p>
    <w:p w14:paraId="654788CB" w14:textId="77777777" w:rsidR="009355F2" w:rsidRPr="00883640" w:rsidRDefault="009355F2" w:rsidP="009355F2">
      <w:pPr>
        <w:widowControl w:val="0"/>
        <w:autoSpaceDE w:val="0"/>
        <w:autoSpaceDN w:val="0"/>
        <w:adjustRightInd w:val="0"/>
        <w:rPr>
          <w:sz w:val="21"/>
          <w:szCs w:val="21"/>
        </w:rPr>
      </w:pPr>
    </w:p>
    <w:p w14:paraId="70DC49DA" w14:textId="23927ED9" w:rsidR="003B60EE" w:rsidRPr="00883640" w:rsidRDefault="003B60EE" w:rsidP="009355F2">
      <w:pPr>
        <w:rPr>
          <w:sz w:val="21"/>
          <w:szCs w:val="21"/>
        </w:rPr>
      </w:pPr>
      <w:r w:rsidRPr="00883640">
        <w:rPr>
          <w:sz w:val="21"/>
          <w:szCs w:val="21"/>
        </w:rPr>
        <w:t xml:space="preserve">Bruce, Steve.  “The Demise of Christianity in Britain.” In </w:t>
      </w:r>
      <w:r w:rsidRPr="00883640">
        <w:rPr>
          <w:i/>
          <w:sz w:val="21"/>
          <w:szCs w:val="21"/>
        </w:rPr>
        <w:t>Predicting Religion: Christian, Secular, and Alternative Futures</w:t>
      </w:r>
      <w:r w:rsidRPr="00883640">
        <w:rPr>
          <w:sz w:val="21"/>
          <w:szCs w:val="21"/>
        </w:rPr>
        <w:t xml:space="preserve">.  Edited by Grace Davie et al., 53-63.  </w:t>
      </w:r>
      <w:proofErr w:type="spellStart"/>
      <w:r w:rsidRPr="00883640">
        <w:rPr>
          <w:sz w:val="21"/>
          <w:szCs w:val="21"/>
        </w:rPr>
        <w:t>Farnham</w:t>
      </w:r>
      <w:proofErr w:type="spellEnd"/>
      <w:r w:rsidRPr="00883640">
        <w:rPr>
          <w:sz w:val="21"/>
          <w:szCs w:val="21"/>
        </w:rPr>
        <w:t xml:space="preserve"> (UK): </w:t>
      </w:r>
      <w:proofErr w:type="spellStart"/>
      <w:r w:rsidRPr="00883640">
        <w:rPr>
          <w:sz w:val="21"/>
          <w:szCs w:val="21"/>
        </w:rPr>
        <w:t>Ashgate</w:t>
      </w:r>
      <w:proofErr w:type="spellEnd"/>
      <w:r w:rsidRPr="00883640">
        <w:rPr>
          <w:sz w:val="21"/>
          <w:szCs w:val="21"/>
        </w:rPr>
        <w:t xml:space="preserve"> Publishing, 2003. </w:t>
      </w:r>
    </w:p>
    <w:p w14:paraId="0BC744BD" w14:textId="77777777" w:rsidR="00D01FBC" w:rsidRPr="00883640" w:rsidRDefault="00D01FBC" w:rsidP="009355F2">
      <w:pPr>
        <w:rPr>
          <w:sz w:val="21"/>
          <w:szCs w:val="21"/>
        </w:rPr>
      </w:pPr>
    </w:p>
    <w:p w14:paraId="76A4B8B6" w14:textId="1384B19A" w:rsidR="00D01FBC" w:rsidRPr="00883640" w:rsidRDefault="00D01FBC" w:rsidP="009355F2">
      <w:pPr>
        <w:rPr>
          <w:sz w:val="21"/>
          <w:szCs w:val="21"/>
        </w:rPr>
      </w:pPr>
      <w:r w:rsidRPr="00883640">
        <w:rPr>
          <w:sz w:val="21"/>
          <w:szCs w:val="21"/>
        </w:rPr>
        <w:t xml:space="preserve">Equality and Human Rights Commission (UK).  </w:t>
      </w:r>
      <w:r w:rsidRPr="00883640">
        <w:rPr>
          <w:i/>
          <w:sz w:val="21"/>
          <w:szCs w:val="21"/>
        </w:rPr>
        <w:t>Healing a Divided Britain: The Need for a Comprehensive Race Equality Strategy</w:t>
      </w:r>
      <w:r w:rsidRPr="00883640">
        <w:rPr>
          <w:sz w:val="21"/>
          <w:szCs w:val="21"/>
        </w:rPr>
        <w:t xml:space="preserve">.  2016.  Online.  Accessed, August 22, 2016. </w:t>
      </w:r>
      <w:r w:rsidR="00647599" w:rsidRPr="00883640">
        <w:rPr>
          <w:sz w:val="21"/>
          <w:szCs w:val="21"/>
        </w:rPr>
        <w:t xml:space="preserve"> </w:t>
      </w:r>
      <w:hyperlink r:id="rId8" w:history="1">
        <w:r w:rsidR="00647599" w:rsidRPr="00883640">
          <w:rPr>
            <w:rStyle w:val="Hyperlink"/>
            <w:color w:val="000000" w:themeColor="text1"/>
            <w:sz w:val="21"/>
            <w:szCs w:val="21"/>
            <w:u w:val="none"/>
          </w:rPr>
          <w:t>https://www.equalityhumanrights.com/en/publication-download/healing-divided-britain-need-comprehensive-race-equality-strategy</w:t>
        </w:r>
      </w:hyperlink>
      <w:r w:rsidR="00647599" w:rsidRPr="00883640">
        <w:rPr>
          <w:color w:val="000000" w:themeColor="text1"/>
          <w:sz w:val="21"/>
          <w:szCs w:val="21"/>
        </w:rPr>
        <w:t xml:space="preserve">. </w:t>
      </w:r>
      <w:r w:rsidR="00647599" w:rsidRPr="00883640">
        <w:rPr>
          <w:sz w:val="21"/>
          <w:szCs w:val="21"/>
        </w:rPr>
        <w:t xml:space="preserve">  </w:t>
      </w:r>
    </w:p>
    <w:p w14:paraId="4E0A284E" w14:textId="77777777" w:rsidR="003B60EE" w:rsidRPr="00883640" w:rsidRDefault="003B60EE" w:rsidP="009355F2">
      <w:pPr>
        <w:rPr>
          <w:sz w:val="21"/>
          <w:szCs w:val="21"/>
        </w:rPr>
      </w:pPr>
    </w:p>
    <w:p w14:paraId="02A0D531" w14:textId="1BB1BF66" w:rsidR="009355F2" w:rsidRPr="00883640" w:rsidRDefault="009355F2" w:rsidP="009355F2">
      <w:pPr>
        <w:rPr>
          <w:color w:val="000000" w:themeColor="text1"/>
          <w:sz w:val="21"/>
          <w:szCs w:val="21"/>
        </w:rPr>
      </w:pPr>
      <w:proofErr w:type="spellStart"/>
      <w:r w:rsidRPr="00883640">
        <w:rPr>
          <w:sz w:val="21"/>
          <w:szCs w:val="21"/>
        </w:rPr>
        <w:t>Iija</w:t>
      </w:r>
      <w:proofErr w:type="spellEnd"/>
      <w:r w:rsidRPr="00883640">
        <w:rPr>
          <w:sz w:val="21"/>
          <w:szCs w:val="21"/>
        </w:rPr>
        <w:t xml:space="preserve">, Veera Ilona. “An Analysis of the Concept of Citizenship: Legal, Political and Social Dimensions.” Master’s thesis, University of Helsinki, 2011. Accessed, August 22, 2016. </w:t>
      </w:r>
      <w:hyperlink r:id="rId9" w:history="1">
        <w:r w:rsidR="007064A7" w:rsidRPr="00883640">
          <w:rPr>
            <w:rStyle w:val="Hyperlink"/>
            <w:color w:val="000000" w:themeColor="text1"/>
            <w:sz w:val="21"/>
            <w:szCs w:val="21"/>
            <w:u w:val="none"/>
          </w:rPr>
          <w:t>https://helda.helsinki.fi/handle/10138/29256</w:t>
        </w:r>
      </w:hyperlink>
      <w:r w:rsidRPr="00883640">
        <w:rPr>
          <w:color w:val="000000" w:themeColor="text1"/>
          <w:sz w:val="21"/>
          <w:szCs w:val="21"/>
        </w:rPr>
        <w:t>.</w:t>
      </w:r>
    </w:p>
    <w:p w14:paraId="60DA58A4" w14:textId="77777777" w:rsidR="0041506A" w:rsidRPr="00883640" w:rsidRDefault="0041506A" w:rsidP="009355F2">
      <w:pPr>
        <w:rPr>
          <w:color w:val="000000" w:themeColor="text1"/>
          <w:sz w:val="21"/>
          <w:szCs w:val="21"/>
        </w:rPr>
      </w:pPr>
    </w:p>
    <w:p w14:paraId="33877DC5" w14:textId="023C9B5B" w:rsidR="0041506A" w:rsidRPr="00883640" w:rsidRDefault="0041506A" w:rsidP="009355F2">
      <w:pPr>
        <w:rPr>
          <w:sz w:val="21"/>
          <w:szCs w:val="21"/>
        </w:rPr>
      </w:pPr>
      <w:r w:rsidRPr="00883640">
        <w:rPr>
          <w:sz w:val="21"/>
          <w:szCs w:val="21"/>
        </w:rPr>
        <w:t xml:space="preserve">Perry, Marvin, et al., ed.  </w:t>
      </w:r>
      <w:r w:rsidRPr="00883640">
        <w:rPr>
          <w:i/>
          <w:sz w:val="21"/>
          <w:szCs w:val="21"/>
        </w:rPr>
        <w:t>Sources of European History since 1900</w:t>
      </w:r>
      <w:r w:rsidRPr="00883640">
        <w:rPr>
          <w:sz w:val="21"/>
          <w:szCs w:val="21"/>
        </w:rPr>
        <w:t>. Second Edition.  Boston: Wadsworth Cengage Learning, 2011.</w:t>
      </w:r>
    </w:p>
    <w:p w14:paraId="232D8DA7" w14:textId="77777777" w:rsidR="007064A7" w:rsidRPr="00883640" w:rsidRDefault="007064A7" w:rsidP="009355F2">
      <w:pPr>
        <w:rPr>
          <w:sz w:val="21"/>
          <w:szCs w:val="21"/>
        </w:rPr>
      </w:pPr>
    </w:p>
    <w:p w14:paraId="774E4E01" w14:textId="1213730E" w:rsidR="00EE5DC4" w:rsidRPr="00883640" w:rsidRDefault="007064A7" w:rsidP="003B60EE">
      <w:pPr>
        <w:rPr>
          <w:sz w:val="21"/>
          <w:szCs w:val="21"/>
        </w:rPr>
      </w:pPr>
      <w:r w:rsidRPr="00883640">
        <w:rPr>
          <w:sz w:val="21"/>
          <w:szCs w:val="21"/>
        </w:rPr>
        <w:t>Preston, Paul</w:t>
      </w:r>
      <w:r w:rsidR="00F95757" w:rsidRPr="00883640">
        <w:rPr>
          <w:sz w:val="21"/>
          <w:szCs w:val="21"/>
        </w:rPr>
        <w:t xml:space="preserve">.  </w:t>
      </w:r>
      <w:r w:rsidR="003B60EE" w:rsidRPr="00883640">
        <w:rPr>
          <w:sz w:val="21"/>
          <w:szCs w:val="21"/>
        </w:rPr>
        <w:t>“</w:t>
      </w:r>
      <w:r w:rsidR="00F95757" w:rsidRPr="00883640">
        <w:rPr>
          <w:sz w:val="21"/>
          <w:szCs w:val="21"/>
        </w:rPr>
        <w:t>The Great Civil War: European Politics, 1914-1945</w:t>
      </w:r>
      <w:r w:rsidR="003B60EE" w:rsidRPr="00883640">
        <w:rPr>
          <w:sz w:val="21"/>
          <w:szCs w:val="21"/>
        </w:rPr>
        <w:t>.</w:t>
      </w:r>
      <w:r w:rsidR="00F95757" w:rsidRPr="00883640">
        <w:rPr>
          <w:sz w:val="21"/>
          <w:szCs w:val="21"/>
        </w:rPr>
        <w:t>”</w:t>
      </w:r>
      <w:r w:rsidR="003B60EE" w:rsidRPr="00883640">
        <w:rPr>
          <w:sz w:val="21"/>
          <w:szCs w:val="21"/>
        </w:rPr>
        <w:t xml:space="preserve"> In </w:t>
      </w:r>
      <w:r w:rsidR="003B60EE" w:rsidRPr="00883640">
        <w:rPr>
          <w:i/>
          <w:sz w:val="21"/>
          <w:szCs w:val="21"/>
        </w:rPr>
        <w:t>Oxford Illustrated History of Modern Europe</w:t>
      </w:r>
      <w:r w:rsidR="003B60EE" w:rsidRPr="00883640">
        <w:rPr>
          <w:sz w:val="21"/>
          <w:szCs w:val="21"/>
        </w:rPr>
        <w:t>, edited</w:t>
      </w:r>
      <w:r w:rsidR="0041506A" w:rsidRPr="00883640">
        <w:rPr>
          <w:sz w:val="21"/>
          <w:szCs w:val="21"/>
        </w:rPr>
        <w:t xml:space="preserve"> by T. C. W. </w:t>
      </w:r>
      <w:proofErr w:type="spellStart"/>
      <w:r w:rsidR="0041506A" w:rsidRPr="00883640">
        <w:rPr>
          <w:sz w:val="21"/>
          <w:szCs w:val="21"/>
        </w:rPr>
        <w:t>Blanning</w:t>
      </w:r>
      <w:proofErr w:type="spellEnd"/>
      <w:r w:rsidR="0041506A" w:rsidRPr="00883640">
        <w:rPr>
          <w:sz w:val="21"/>
          <w:szCs w:val="21"/>
        </w:rPr>
        <w:t xml:space="preserve">, </w:t>
      </w:r>
      <w:r w:rsidR="003B60EE" w:rsidRPr="00883640">
        <w:rPr>
          <w:sz w:val="21"/>
          <w:szCs w:val="21"/>
        </w:rPr>
        <w:t>148-181.  Oxford, New York: Oxford University Press, 1998.</w:t>
      </w:r>
    </w:p>
    <w:p w14:paraId="3F8C41FE" w14:textId="7865D7DD" w:rsidR="003B60EE" w:rsidRPr="00883640" w:rsidRDefault="003B60EE" w:rsidP="003B60EE">
      <w:pPr>
        <w:rPr>
          <w:sz w:val="21"/>
          <w:szCs w:val="21"/>
        </w:rPr>
      </w:pPr>
    </w:p>
    <w:p w14:paraId="761730F2" w14:textId="72BDA7D3" w:rsidR="003B60EE" w:rsidRDefault="003B60EE" w:rsidP="003B60EE">
      <w:pPr>
        <w:rPr>
          <w:sz w:val="21"/>
          <w:szCs w:val="21"/>
        </w:rPr>
      </w:pPr>
      <w:r w:rsidRPr="00883640">
        <w:rPr>
          <w:sz w:val="21"/>
          <w:szCs w:val="21"/>
        </w:rPr>
        <w:t xml:space="preserve">Smith, Timothy B.  </w:t>
      </w:r>
      <w:r w:rsidRPr="00883640">
        <w:rPr>
          <w:i/>
          <w:sz w:val="21"/>
          <w:szCs w:val="21"/>
        </w:rPr>
        <w:t>France in Crisis: Welfare, Inequality and Globalization since 1980</w:t>
      </w:r>
      <w:r w:rsidRPr="00883640">
        <w:rPr>
          <w:sz w:val="21"/>
          <w:szCs w:val="21"/>
        </w:rPr>
        <w:t>.  Cambridge, Cambridge University Press, 2004.</w:t>
      </w:r>
    </w:p>
    <w:p w14:paraId="0F3188C6" w14:textId="77777777" w:rsidR="00EE5DC4" w:rsidRDefault="00EE5DC4" w:rsidP="003B60EE">
      <w:pPr>
        <w:rPr>
          <w:sz w:val="21"/>
          <w:szCs w:val="21"/>
        </w:rPr>
      </w:pPr>
    </w:p>
    <w:p w14:paraId="7A58DF9B" w14:textId="79B671FE" w:rsidR="00EE5DC4" w:rsidRPr="00883640" w:rsidRDefault="00EE5DC4" w:rsidP="003B60EE">
      <w:pPr>
        <w:rPr>
          <w:sz w:val="21"/>
          <w:szCs w:val="21"/>
        </w:rPr>
      </w:pPr>
      <w:r>
        <w:rPr>
          <w:sz w:val="21"/>
          <w:szCs w:val="21"/>
        </w:rPr>
        <w:t xml:space="preserve">Stiglitz, Joseph.  </w:t>
      </w:r>
      <w:r w:rsidRPr="00EE5DC4">
        <w:rPr>
          <w:i/>
          <w:sz w:val="21"/>
          <w:szCs w:val="21"/>
        </w:rPr>
        <w:t>The Euro: How a Common Currency Threatens the Future of Europe</w:t>
      </w:r>
      <w:r>
        <w:rPr>
          <w:sz w:val="21"/>
          <w:szCs w:val="21"/>
        </w:rPr>
        <w:t>.  New York: W. W. Norton, 2016.</w:t>
      </w:r>
    </w:p>
    <w:p w14:paraId="28D31FAC" w14:textId="77777777" w:rsidR="0041506A" w:rsidRPr="00883640" w:rsidRDefault="0041506A" w:rsidP="003B60EE">
      <w:pPr>
        <w:rPr>
          <w:sz w:val="21"/>
          <w:szCs w:val="21"/>
        </w:rPr>
      </w:pPr>
    </w:p>
    <w:p w14:paraId="328CA603" w14:textId="77777777" w:rsidR="0041506A" w:rsidRPr="00883640" w:rsidRDefault="0041506A" w:rsidP="0041506A">
      <w:pPr>
        <w:rPr>
          <w:sz w:val="21"/>
          <w:szCs w:val="21"/>
        </w:rPr>
      </w:pPr>
      <w:proofErr w:type="spellStart"/>
      <w:r w:rsidRPr="00883640">
        <w:rPr>
          <w:sz w:val="21"/>
          <w:szCs w:val="21"/>
        </w:rPr>
        <w:t>Solomos</w:t>
      </w:r>
      <w:proofErr w:type="spellEnd"/>
      <w:r w:rsidRPr="00883640">
        <w:rPr>
          <w:sz w:val="21"/>
          <w:szCs w:val="21"/>
        </w:rPr>
        <w:t xml:space="preserve">, John. “Contemporary Forms of Racist Movements and Mobilization in Britain.” In </w:t>
      </w:r>
      <w:proofErr w:type="gramStart"/>
      <w:r w:rsidRPr="00883640">
        <w:rPr>
          <w:sz w:val="21"/>
          <w:szCs w:val="21"/>
        </w:rPr>
        <w:t>In</w:t>
      </w:r>
      <w:proofErr w:type="gramEnd"/>
      <w:r w:rsidRPr="00883640">
        <w:rPr>
          <w:sz w:val="21"/>
          <w:szCs w:val="21"/>
        </w:rPr>
        <w:t xml:space="preserve"> </w:t>
      </w:r>
      <w:r w:rsidRPr="00883640">
        <w:rPr>
          <w:i/>
          <w:sz w:val="21"/>
          <w:szCs w:val="21"/>
        </w:rPr>
        <w:t xml:space="preserve">Right-Wing Populism in Europe: Politics and Discourse, </w:t>
      </w:r>
      <w:r w:rsidRPr="00883640">
        <w:rPr>
          <w:sz w:val="21"/>
          <w:szCs w:val="21"/>
        </w:rPr>
        <w:t>121-33.</w:t>
      </w:r>
      <w:r w:rsidRPr="00883640">
        <w:rPr>
          <w:i/>
          <w:sz w:val="21"/>
          <w:szCs w:val="21"/>
        </w:rPr>
        <w:t xml:space="preserve"> </w:t>
      </w:r>
      <w:r w:rsidRPr="00883640">
        <w:rPr>
          <w:sz w:val="21"/>
          <w:szCs w:val="21"/>
        </w:rPr>
        <w:t xml:space="preserve">Edited by Ruth </w:t>
      </w:r>
      <w:proofErr w:type="spellStart"/>
      <w:r w:rsidRPr="00883640">
        <w:rPr>
          <w:sz w:val="21"/>
          <w:szCs w:val="21"/>
        </w:rPr>
        <w:t>Wodak</w:t>
      </w:r>
      <w:proofErr w:type="spellEnd"/>
      <w:r w:rsidRPr="00883640">
        <w:rPr>
          <w:sz w:val="21"/>
          <w:szCs w:val="21"/>
        </w:rPr>
        <w:t xml:space="preserve"> et al</w:t>
      </w:r>
      <w:r w:rsidRPr="00883640">
        <w:rPr>
          <w:i/>
          <w:sz w:val="21"/>
          <w:szCs w:val="21"/>
        </w:rPr>
        <w:t xml:space="preserve">.  </w:t>
      </w:r>
      <w:r w:rsidRPr="00883640">
        <w:rPr>
          <w:sz w:val="21"/>
          <w:szCs w:val="21"/>
        </w:rPr>
        <w:t>London: Bloomsbury, 2013.</w:t>
      </w:r>
    </w:p>
    <w:p w14:paraId="649E2F2B" w14:textId="77777777" w:rsidR="00647599" w:rsidRPr="00883640" w:rsidRDefault="00647599" w:rsidP="003B60EE">
      <w:pPr>
        <w:rPr>
          <w:sz w:val="21"/>
          <w:szCs w:val="21"/>
        </w:rPr>
      </w:pPr>
    </w:p>
    <w:p w14:paraId="238476BD" w14:textId="79C38469" w:rsidR="00647599" w:rsidRDefault="00647599" w:rsidP="003B60EE">
      <w:pPr>
        <w:rPr>
          <w:sz w:val="21"/>
          <w:szCs w:val="21"/>
        </w:rPr>
      </w:pPr>
      <w:proofErr w:type="spellStart"/>
      <w:r w:rsidRPr="00883640">
        <w:rPr>
          <w:sz w:val="21"/>
          <w:szCs w:val="21"/>
        </w:rPr>
        <w:t>Wodak</w:t>
      </w:r>
      <w:proofErr w:type="spellEnd"/>
      <w:r w:rsidRPr="00883640">
        <w:rPr>
          <w:sz w:val="21"/>
          <w:szCs w:val="21"/>
        </w:rPr>
        <w:t xml:space="preserve">, Ruth, ed.  </w:t>
      </w:r>
      <w:r w:rsidRPr="00883640">
        <w:rPr>
          <w:i/>
          <w:sz w:val="21"/>
          <w:szCs w:val="21"/>
        </w:rPr>
        <w:t>Right-Wing Populism in Europe: Politics and Discourse</w:t>
      </w:r>
      <w:r w:rsidRPr="00883640">
        <w:rPr>
          <w:sz w:val="21"/>
          <w:szCs w:val="21"/>
        </w:rPr>
        <w:t>.  London: Bloomsbury, 2013</w:t>
      </w:r>
      <w:r w:rsidR="00883640">
        <w:rPr>
          <w:sz w:val="21"/>
          <w:szCs w:val="21"/>
        </w:rPr>
        <w:t>.</w:t>
      </w:r>
    </w:p>
    <w:p w14:paraId="33F3D42E" w14:textId="77777777" w:rsidR="005678BE" w:rsidRDefault="005678BE" w:rsidP="003B60EE">
      <w:pPr>
        <w:rPr>
          <w:sz w:val="21"/>
          <w:szCs w:val="21"/>
        </w:rPr>
      </w:pPr>
    </w:p>
    <w:p w14:paraId="2C1FC5C6" w14:textId="77777777" w:rsidR="005678BE" w:rsidRDefault="005678BE" w:rsidP="003B60EE">
      <w:pPr>
        <w:rPr>
          <w:sz w:val="21"/>
          <w:szCs w:val="21"/>
        </w:rPr>
      </w:pPr>
    </w:p>
    <w:p w14:paraId="59F30755" w14:textId="77777777" w:rsidR="005678BE" w:rsidRDefault="005678BE" w:rsidP="003B60EE">
      <w:pPr>
        <w:rPr>
          <w:sz w:val="21"/>
          <w:szCs w:val="21"/>
        </w:rPr>
      </w:pPr>
    </w:p>
    <w:p w14:paraId="5B6D2FE1" w14:textId="77777777" w:rsidR="005678BE" w:rsidRDefault="005678BE" w:rsidP="003B60EE">
      <w:pPr>
        <w:rPr>
          <w:sz w:val="21"/>
          <w:szCs w:val="21"/>
        </w:rPr>
      </w:pPr>
    </w:p>
    <w:p w14:paraId="06D2A914" w14:textId="77777777" w:rsidR="005678BE" w:rsidRDefault="005678BE" w:rsidP="003B60EE">
      <w:pPr>
        <w:rPr>
          <w:sz w:val="21"/>
          <w:szCs w:val="21"/>
        </w:rPr>
      </w:pPr>
    </w:p>
    <w:p w14:paraId="5AAD0BAD" w14:textId="77777777" w:rsidR="005678BE" w:rsidRDefault="005678BE" w:rsidP="003B60EE">
      <w:pPr>
        <w:rPr>
          <w:sz w:val="21"/>
          <w:szCs w:val="21"/>
        </w:rPr>
      </w:pPr>
    </w:p>
    <w:p w14:paraId="3BA5DA84" w14:textId="77777777" w:rsidR="005678BE" w:rsidRDefault="005678BE" w:rsidP="003B60EE">
      <w:pPr>
        <w:rPr>
          <w:sz w:val="21"/>
          <w:szCs w:val="21"/>
        </w:rPr>
      </w:pPr>
    </w:p>
    <w:p w14:paraId="64BCDEA8" w14:textId="77777777" w:rsidR="005678BE" w:rsidRDefault="005678BE" w:rsidP="003B60EE">
      <w:pPr>
        <w:rPr>
          <w:sz w:val="21"/>
          <w:szCs w:val="21"/>
        </w:rPr>
      </w:pPr>
    </w:p>
    <w:p w14:paraId="3CB6B1AB" w14:textId="77777777" w:rsidR="005678BE" w:rsidRDefault="005678BE" w:rsidP="003B60EE">
      <w:pPr>
        <w:rPr>
          <w:sz w:val="21"/>
          <w:szCs w:val="21"/>
        </w:rPr>
      </w:pPr>
    </w:p>
    <w:p w14:paraId="47CAB068" w14:textId="77777777" w:rsidR="005678BE" w:rsidRDefault="005678BE" w:rsidP="003B60EE">
      <w:pPr>
        <w:rPr>
          <w:sz w:val="21"/>
          <w:szCs w:val="21"/>
        </w:rPr>
      </w:pPr>
    </w:p>
    <w:p w14:paraId="45DE63F7" w14:textId="77777777" w:rsidR="005678BE" w:rsidRDefault="005678BE" w:rsidP="003B60EE">
      <w:pPr>
        <w:rPr>
          <w:sz w:val="21"/>
          <w:szCs w:val="21"/>
        </w:rPr>
      </w:pPr>
    </w:p>
    <w:p w14:paraId="7FADE0EE" w14:textId="77777777" w:rsidR="005678BE" w:rsidRDefault="005678BE" w:rsidP="003B60EE">
      <w:pPr>
        <w:rPr>
          <w:sz w:val="21"/>
          <w:szCs w:val="21"/>
        </w:rPr>
      </w:pPr>
    </w:p>
    <w:p w14:paraId="4C9B015F" w14:textId="77777777" w:rsidR="005678BE" w:rsidRDefault="005678BE" w:rsidP="003B60EE">
      <w:pPr>
        <w:rPr>
          <w:sz w:val="21"/>
          <w:szCs w:val="21"/>
        </w:rPr>
      </w:pPr>
    </w:p>
    <w:p w14:paraId="71907D8A" w14:textId="77777777" w:rsidR="005678BE" w:rsidRDefault="005678BE" w:rsidP="003B60EE">
      <w:pPr>
        <w:rPr>
          <w:sz w:val="21"/>
          <w:szCs w:val="21"/>
        </w:rPr>
      </w:pPr>
    </w:p>
    <w:p w14:paraId="4F2D03C7" w14:textId="77777777" w:rsidR="005678BE" w:rsidRPr="009355F2" w:rsidRDefault="005678BE" w:rsidP="003B60EE"/>
    <w:p w14:paraId="76F98AD7" w14:textId="77777777" w:rsidR="009355F2" w:rsidRDefault="009355F2" w:rsidP="009355F2">
      <w:pPr>
        <w:jc w:val="center"/>
      </w:pPr>
    </w:p>
    <w:p w14:paraId="2F6C9557" w14:textId="77777777" w:rsidR="005678BE" w:rsidRPr="007A53F4" w:rsidRDefault="005678BE" w:rsidP="005678BE">
      <w:pPr>
        <w:jc w:val="center"/>
        <w:outlineLvl w:val="0"/>
        <w:rPr>
          <w:b/>
        </w:rPr>
      </w:pPr>
      <w:r w:rsidRPr="007A53F4">
        <w:rPr>
          <w:b/>
        </w:rPr>
        <w:t>Film Schedule</w:t>
      </w:r>
    </w:p>
    <w:p w14:paraId="73AA003F" w14:textId="77777777" w:rsidR="005678BE" w:rsidRPr="007A53F4" w:rsidRDefault="005678BE" w:rsidP="005678BE">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32"/>
        <w:gridCol w:w="4932"/>
      </w:tblGrid>
      <w:tr w:rsidR="005678BE" w:rsidRPr="007A53F4" w14:paraId="35429637" w14:textId="77777777" w:rsidTr="00E2178B">
        <w:tc>
          <w:tcPr>
            <w:tcW w:w="4932" w:type="dxa"/>
          </w:tcPr>
          <w:p w14:paraId="5BD86254" w14:textId="77777777" w:rsidR="005678BE" w:rsidRPr="007A53F4" w:rsidRDefault="005678BE" w:rsidP="00E2178B">
            <w:pPr>
              <w:jc w:val="center"/>
            </w:pPr>
            <w:r w:rsidRPr="007A53F4">
              <w:t>Time/Date/Place</w:t>
            </w:r>
          </w:p>
        </w:tc>
        <w:tc>
          <w:tcPr>
            <w:tcW w:w="4932" w:type="dxa"/>
          </w:tcPr>
          <w:p w14:paraId="17410AA8" w14:textId="77777777" w:rsidR="005678BE" w:rsidRPr="007A53F4" w:rsidRDefault="005678BE" w:rsidP="00E2178B">
            <w:pPr>
              <w:jc w:val="center"/>
            </w:pPr>
            <w:r w:rsidRPr="007A53F4">
              <w:t>Film</w:t>
            </w:r>
          </w:p>
        </w:tc>
      </w:tr>
      <w:tr w:rsidR="005678BE" w:rsidRPr="007A53F4" w14:paraId="7217B6CA" w14:textId="77777777" w:rsidTr="00E2178B">
        <w:tc>
          <w:tcPr>
            <w:tcW w:w="4932" w:type="dxa"/>
          </w:tcPr>
          <w:p w14:paraId="568984E2" w14:textId="77777777" w:rsidR="005678BE" w:rsidRPr="007A53F4" w:rsidRDefault="005678BE" w:rsidP="00E2178B">
            <w:pPr>
              <w:jc w:val="center"/>
            </w:pPr>
            <w:r>
              <w:t xml:space="preserve"> </w:t>
            </w:r>
            <w:r w:rsidRPr="007A53F4">
              <w:t>7:00 p.m.</w:t>
            </w:r>
          </w:p>
          <w:p w14:paraId="74BBC830" w14:textId="77777777" w:rsidR="005678BE" w:rsidRDefault="005678BE" w:rsidP="00E2178B">
            <w:pPr>
              <w:jc w:val="center"/>
            </w:pPr>
            <w:r>
              <w:t>Tuesday, August 30</w:t>
            </w:r>
          </w:p>
          <w:p w14:paraId="62FBBD77" w14:textId="77777777" w:rsidR="005678BE" w:rsidRPr="007A53F4" w:rsidRDefault="005678BE" w:rsidP="00E2178B">
            <w:pPr>
              <w:jc w:val="center"/>
            </w:pPr>
            <w:r w:rsidRPr="007A53F4">
              <w:t xml:space="preserve">Croft </w:t>
            </w:r>
            <w:r>
              <w:t>204</w:t>
            </w:r>
          </w:p>
        </w:tc>
        <w:tc>
          <w:tcPr>
            <w:tcW w:w="4932" w:type="dxa"/>
          </w:tcPr>
          <w:p w14:paraId="6EA06AF3" w14:textId="77777777" w:rsidR="005678BE" w:rsidRPr="001D5BE6" w:rsidRDefault="005678BE" w:rsidP="00E2178B">
            <w:pPr>
              <w:jc w:val="center"/>
              <w:rPr>
                <w:b/>
              </w:rPr>
            </w:pPr>
            <w:r w:rsidRPr="001D5BE6">
              <w:rPr>
                <w:b/>
              </w:rPr>
              <w:t>Germinal</w:t>
            </w:r>
          </w:p>
          <w:p w14:paraId="1B33DBA0" w14:textId="77777777" w:rsidR="005678BE" w:rsidRDefault="005678BE" w:rsidP="00E2178B">
            <w:pPr>
              <w:jc w:val="center"/>
            </w:pPr>
            <w:r>
              <w:t>France 1993 (152 minutes)</w:t>
            </w:r>
          </w:p>
          <w:p w14:paraId="2F7D399B" w14:textId="77777777" w:rsidR="005678BE" w:rsidRPr="007A53F4" w:rsidRDefault="005678BE" w:rsidP="00E2178B">
            <w:pPr>
              <w:jc w:val="center"/>
            </w:pPr>
            <w:r>
              <w:t>Directed by Claude Berri</w:t>
            </w:r>
          </w:p>
        </w:tc>
      </w:tr>
      <w:tr w:rsidR="005678BE" w:rsidRPr="007A53F4" w14:paraId="285C2C45" w14:textId="77777777" w:rsidTr="00E2178B">
        <w:tc>
          <w:tcPr>
            <w:tcW w:w="4932" w:type="dxa"/>
          </w:tcPr>
          <w:p w14:paraId="12CC482A" w14:textId="77777777" w:rsidR="005678BE" w:rsidRPr="007A53F4" w:rsidRDefault="005678BE" w:rsidP="00E2178B">
            <w:pPr>
              <w:jc w:val="center"/>
            </w:pPr>
            <w:r w:rsidRPr="007A53F4">
              <w:t>7:00 p.m.</w:t>
            </w:r>
          </w:p>
          <w:p w14:paraId="41F93293" w14:textId="77777777" w:rsidR="005678BE" w:rsidRDefault="005678BE" w:rsidP="00E2178B">
            <w:pPr>
              <w:jc w:val="center"/>
            </w:pPr>
            <w:r>
              <w:t>Tuesday, September 27</w:t>
            </w:r>
          </w:p>
          <w:p w14:paraId="1015F78A" w14:textId="77777777" w:rsidR="005678BE" w:rsidRPr="007A53F4" w:rsidRDefault="005678BE" w:rsidP="00E2178B">
            <w:pPr>
              <w:jc w:val="center"/>
            </w:pPr>
            <w:r w:rsidRPr="007A53F4">
              <w:t xml:space="preserve">Croft </w:t>
            </w:r>
            <w:r>
              <w:t>204</w:t>
            </w:r>
          </w:p>
        </w:tc>
        <w:tc>
          <w:tcPr>
            <w:tcW w:w="4932" w:type="dxa"/>
          </w:tcPr>
          <w:p w14:paraId="35C61D35" w14:textId="77777777" w:rsidR="005678BE" w:rsidRDefault="005678BE" w:rsidP="00E2178B">
            <w:pPr>
              <w:jc w:val="center"/>
              <w:rPr>
                <w:b/>
              </w:rPr>
            </w:pPr>
            <w:r>
              <w:rPr>
                <w:b/>
              </w:rPr>
              <w:t>The Loneliness of the Long Distance Runner</w:t>
            </w:r>
          </w:p>
          <w:p w14:paraId="0C5B5D50" w14:textId="77777777" w:rsidR="005678BE" w:rsidRPr="00412294" w:rsidRDefault="005678BE" w:rsidP="00E2178B">
            <w:pPr>
              <w:jc w:val="center"/>
            </w:pPr>
            <w:r w:rsidRPr="00412294">
              <w:t>United Kingdom 1962 (104 minutes)</w:t>
            </w:r>
          </w:p>
          <w:p w14:paraId="28177E7C" w14:textId="77777777" w:rsidR="005678BE" w:rsidRPr="0005665C" w:rsidRDefault="005678BE" w:rsidP="00E2178B">
            <w:pPr>
              <w:jc w:val="center"/>
              <w:rPr>
                <w:b/>
              </w:rPr>
            </w:pPr>
            <w:r w:rsidRPr="00412294">
              <w:t>Directed by Tony Richardson</w:t>
            </w:r>
            <w:r w:rsidRPr="0005665C">
              <w:rPr>
                <w:b/>
              </w:rPr>
              <w:t xml:space="preserve"> </w:t>
            </w:r>
          </w:p>
        </w:tc>
      </w:tr>
      <w:tr w:rsidR="005678BE" w:rsidRPr="007A53F4" w14:paraId="42D5E1D0" w14:textId="77777777" w:rsidTr="00E2178B">
        <w:tc>
          <w:tcPr>
            <w:tcW w:w="4932" w:type="dxa"/>
          </w:tcPr>
          <w:p w14:paraId="731B2902" w14:textId="77777777" w:rsidR="005678BE" w:rsidRDefault="005678BE" w:rsidP="00E2178B">
            <w:pPr>
              <w:jc w:val="center"/>
            </w:pPr>
            <w:r w:rsidRPr="007A53F4">
              <w:t>7:00 p.m.</w:t>
            </w:r>
          </w:p>
          <w:p w14:paraId="740118AD" w14:textId="77777777" w:rsidR="005678BE" w:rsidRPr="007A53F4" w:rsidRDefault="005678BE" w:rsidP="00E2178B">
            <w:pPr>
              <w:jc w:val="center"/>
            </w:pPr>
            <w:r>
              <w:t>Tuesday, October 11</w:t>
            </w:r>
          </w:p>
          <w:p w14:paraId="691C94DD" w14:textId="77777777" w:rsidR="005678BE" w:rsidRPr="007A53F4" w:rsidRDefault="005678BE" w:rsidP="00E2178B">
            <w:pPr>
              <w:jc w:val="center"/>
            </w:pPr>
            <w:r w:rsidRPr="007A53F4">
              <w:t xml:space="preserve">Croft </w:t>
            </w:r>
            <w:r>
              <w:t>204</w:t>
            </w:r>
          </w:p>
        </w:tc>
        <w:tc>
          <w:tcPr>
            <w:tcW w:w="4932" w:type="dxa"/>
          </w:tcPr>
          <w:p w14:paraId="0887D168" w14:textId="77777777" w:rsidR="005678BE" w:rsidRDefault="005678BE" w:rsidP="00E2178B">
            <w:pPr>
              <w:jc w:val="center"/>
              <w:rPr>
                <w:b/>
              </w:rPr>
            </w:pPr>
            <w:r>
              <w:rPr>
                <w:b/>
              </w:rPr>
              <w:t xml:space="preserve">The </w:t>
            </w:r>
            <w:proofErr w:type="spellStart"/>
            <w:r>
              <w:rPr>
                <w:b/>
              </w:rPr>
              <w:t>Baader</w:t>
            </w:r>
            <w:proofErr w:type="spellEnd"/>
            <w:r>
              <w:rPr>
                <w:b/>
              </w:rPr>
              <w:t xml:space="preserve"> </w:t>
            </w:r>
            <w:proofErr w:type="spellStart"/>
            <w:r>
              <w:rPr>
                <w:b/>
              </w:rPr>
              <w:t>Meinhof</w:t>
            </w:r>
            <w:proofErr w:type="spellEnd"/>
            <w:r>
              <w:rPr>
                <w:b/>
              </w:rPr>
              <w:t xml:space="preserve"> Complex</w:t>
            </w:r>
          </w:p>
          <w:p w14:paraId="5D794491" w14:textId="77777777" w:rsidR="005678BE" w:rsidRDefault="005678BE" w:rsidP="00E2178B">
            <w:pPr>
              <w:jc w:val="center"/>
            </w:pPr>
            <w:r w:rsidRPr="001D5BE6">
              <w:t>Germany 2008 (143 minut</w:t>
            </w:r>
            <w:r>
              <w:t>e</w:t>
            </w:r>
            <w:r w:rsidRPr="001D5BE6">
              <w:t>s)</w:t>
            </w:r>
          </w:p>
          <w:p w14:paraId="10485AF3" w14:textId="77777777" w:rsidR="005678BE" w:rsidRPr="001D5BE6" w:rsidRDefault="005678BE" w:rsidP="00E2178B">
            <w:pPr>
              <w:jc w:val="center"/>
            </w:pPr>
            <w:r>
              <w:t xml:space="preserve">Directed by </w:t>
            </w:r>
            <w:proofErr w:type="spellStart"/>
            <w:r>
              <w:t>Uli</w:t>
            </w:r>
            <w:proofErr w:type="spellEnd"/>
            <w:r>
              <w:t xml:space="preserve"> </w:t>
            </w:r>
            <w:proofErr w:type="spellStart"/>
            <w:r>
              <w:t>Edel</w:t>
            </w:r>
            <w:proofErr w:type="spellEnd"/>
          </w:p>
        </w:tc>
      </w:tr>
      <w:tr w:rsidR="005678BE" w:rsidRPr="007A53F4" w14:paraId="43D891B5" w14:textId="77777777" w:rsidTr="00E2178B">
        <w:tc>
          <w:tcPr>
            <w:tcW w:w="4932" w:type="dxa"/>
          </w:tcPr>
          <w:p w14:paraId="2244B19F" w14:textId="77777777" w:rsidR="005678BE" w:rsidRDefault="005678BE" w:rsidP="00E2178B">
            <w:pPr>
              <w:jc w:val="center"/>
            </w:pPr>
            <w:r w:rsidRPr="007A53F4">
              <w:t>7:00 p.m.</w:t>
            </w:r>
          </w:p>
          <w:p w14:paraId="405ED80F" w14:textId="77777777" w:rsidR="005678BE" w:rsidRPr="007A53F4" w:rsidRDefault="005678BE" w:rsidP="00E2178B">
            <w:pPr>
              <w:jc w:val="center"/>
            </w:pPr>
            <w:r>
              <w:t>Wednesday, October 25</w:t>
            </w:r>
          </w:p>
          <w:p w14:paraId="1193933D" w14:textId="77777777" w:rsidR="005678BE" w:rsidRPr="007A53F4" w:rsidRDefault="005678BE" w:rsidP="00E2178B">
            <w:pPr>
              <w:jc w:val="center"/>
            </w:pPr>
            <w:r w:rsidRPr="007A53F4">
              <w:t xml:space="preserve">Croft </w:t>
            </w:r>
            <w:r>
              <w:t>204</w:t>
            </w:r>
          </w:p>
        </w:tc>
        <w:tc>
          <w:tcPr>
            <w:tcW w:w="4932" w:type="dxa"/>
          </w:tcPr>
          <w:p w14:paraId="65845231" w14:textId="77777777" w:rsidR="005678BE" w:rsidRPr="007A53F4" w:rsidRDefault="005678BE" w:rsidP="00E2178B">
            <w:pPr>
              <w:jc w:val="center"/>
              <w:rPr>
                <w:b/>
              </w:rPr>
            </w:pPr>
            <w:r w:rsidRPr="007A53F4">
              <w:rPr>
                <w:b/>
              </w:rPr>
              <w:t>The Lives of Others</w:t>
            </w:r>
          </w:p>
          <w:p w14:paraId="20520323" w14:textId="77777777" w:rsidR="005678BE" w:rsidRPr="007A53F4" w:rsidRDefault="005678BE" w:rsidP="00E2178B">
            <w:pPr>
              <w:jc w:val="center"/>
            </w:pPr>
            <w:r w:rsidRPr="007A53F4">
              <w:t>Germany 2006 (138 minutes)</w:t>
            </w:r>
          </w:p>
          <w:p w14:paraId="054F0752" w14:textId="77777777" w:rsidR="005678BE" w:rsidRPr="007A53F4" w:rsidRDefault="005678BE" w:rsidP="00E2178B">
            <w:pPr>
              <w:jc w:val="center"/>
            </w:pPr>
            <w:r w:rsidRPr="007A53F4">
              <w:t xml:space="preserve">Directed by Florian </w:t>
            </w:r>
            <w:proofErr w:type="spellStart"/>
            <w:r w:rsidRPr="007A53F4">
              <w:t>Henckel</w:t>
            </w:r>
            <w:proofErr w:type="spellEnd"/>
            <w:r w:rsidRPr="007A53F4">
              <w:t xml:space="preserve"> von </w:t>
            </w:r>
            <w:proofErr w:type="spellStart"/>
            <w:r w:rsidRPr="007A53F4">
              <w:t>Donnersmarck</w:t>
            </w:r>
            <w:proofErr w:type="spellEnd"/>
            <w:r>
              <w:rPr>
                <w:b/>
              </w:rPr>
              <w:t xml:space="preserve"> </w:t>
            </w:r>
          </w:p>
        </w:tc>
      </w:tr>
      <w:tr w:rsidR="005678BE" w:rsidRPr="007A53F4" w14:paraId="22C0BD0F" w14:textId="77777777" w:rsidTr="00E2178B">
        <w:tc>
          <w:tcPr>
            <w:tcW w:w="4932" w:type="dxa"/>
          </w:tcPr>
          <w:p w14:paraId="665A9A14" w14:textId="77777777" w:rsidR="005678BE" w:rsidRDefault="005678BE" w:rsidP="00E2178B">
            <w:pPr>
              <w:jc w:val="center"/>
            </w:pPr>
            <w:r w:rsidRPr="007A53F4">
              <w:t>7:00 p.m.</w:t>
            </w:r>
          </w:p>
          <w:p w14:paraId="3CD5DC7D" w14:textId="77777777" w:rsidR="005678BE" w:rsidRPr="007A53F4" w:rsidRDefault="005678BE" w:rsidP="00E2178B">
            <w:pPr>
              <w:jc w:val="center"/>
            </w:pPr>
            <w:r>
              <w:t>Tuesday, November 8</w:t>
            </w:r>
          </w:p>
          <w:p w14:paraId="73787E79" w14:textId="77777777" w:rsidR="005678BE" w:rsidRPr="007A53F4" w:rsidRDefault="005678BE" w:rsidP="00E2178B">
            <w:pPr>
              <w:jc w:val="center"/>
            </w:pPr>
            <w:r w:rsidRPr="007A53F4">
              <w:t xml:space="preserve">Croft </w:t>
            </w:r>
            <w:r>
              <w:t>204</w:t>
            </w:r>
          </w:p>
        </w:tc>
        <w:tc>
          <w:tcPr>
            <w:tcW w:w="4932" w:type="dxa"/>
          </w:tcPr>
          <w:p w14:paraId="7098EAB4" w14:textId="77777777" w:rsidR="005678BE" w:rsidRDefault="005678BE" w:rsidP="00E2178B">
            <w:pPr>
              <w:jc w:val="center"/>
              <w:rPr>
                <w:b/>
              </w:rPr>
            </w:pPr>
            <w:r>
              <w:rPr>
                <w:b/>
              </w:rPr>
              <w:t>All White in Barking</w:t>
            </w:r>
          </w:p>
          <w:p w14:paraId="3570FA3F" w14:textId="77777777" w:rsidR="005678BE" w:rsidRDefault="005678BE" w:rsidP="00E2178B">
            <w:pPr>
              <w:jc w:val="center"/>
            </w:pPr>
            <w:r w:rsidRPr="001D5BE6">
              <w:t xml:space="preserve">United Kingdom 2007 (72 minutes) </w:t>
            </w:r>
          </w:p>
          <w:p w14:paraId="4A3D0A4B" w14:textId="77777777" w:rsidR="005678BE" w:rsidRPr="001D5BE6" w:rsidRDefault="005678BE" w:rsidP="00E2178B">
            <w:pPr>
              <w:jc w:val="center"/>
            </w:pPr>
            <w:r>
              <w:t>Directed by Marc Isaacs</w:t>
            </w:r>
          </w:p>
        </w:tc>
      </w:tr>
    </w:tbl>
    <w:p w14:paraId="5721ABCF" w14:textId="77777777" w:rsidR="005678BE" w:rsidRPr="007A53F4" w:rsidRDefault="005678BE" w:rsidP="005678BE">
      <w:pPr>
        <w:jc w:val="center"/>
      </w:pPr>
    </w:p>
    <w:p w14:paraId="41C9095A" w14:textId="77777777" w:rsidR="005678BE" w:rsidRDefault="005678BE" w:rsidP="005678BE">
      <w:r>
        <w:t xml:space="preserve">You will earn credit only by </w:t>
      </w:r>
      <w:r w:rsidRPr="0029047B">
        <w:t xml:space="preserve">attending </w:t>
      </w:r>
      <w:r>
        <w:t xml:space="preserve">the common screening </w:t>
      </w:r>
      <w:r w:rsidRPr="0029047B">
        <w:t>and wri</w:t>
      </w:r>
      <w:r>
        <w:t>ting a paper of passing quality. F</w:t>
      </w:r>
      <w:r w:rsidRPr="0029047B">
        <w:t xml:space="preserve">ilm papers will be graded on a pass/fail basis. </w:t>
      </w:r>
      <w:r>
        <w:t xml:space="preserve"> Dates may change.</w:t>
      </w:r>
    </w:p>
    <w:p w14:paraId="1AE65285" w14:textId="77777777" w:rsidR="009F3948" w:rsidRDefault="009F3948" w:rsidP="005678BE">
      <w:pPr>
        <w:pBdr>
          <w:bottom w:val="single" w:sz="6" w:space="1" w:color="auto"/>
        </w:pBdr>
      </w:pPr>
    </w:p>
    <w:p w14:paraId="27DB7EEF" w14:textId="77777777" w:rsidR="009F3948" w:rsidRDefault="009F3948" w:rsidP="005678BE"/>
    <w:p w14:paraId="16332702" w14:textId="77777777" w:rsidR="009F3948" w:rsidRDefault="009F3948" w:rsidP="005678BE"/>
    <w:p w14:paraId="59E9B5AA" w14:textId="77777777" w:rsidR="009F3948" w:rsidRPr="009F3948" w:rsidRDefault="009F3948" w:rsidP="009F3948">
      <w:pPr>
        <w:widowControl w:val="0"/>
        <w:autoSpaceDE w:val="0"/>
        <w:autoSpaceDN w:val="0"/>
        <w:adjustRightInd w:val="0"/>
        <w:jc w:val="center"/>
        <w:rPr>
          <w:b/>
          <w:sz w:val="21"/>
          <w:szCs w:val="21"/>
        </w:rPr>
      </w:pPr>
      <w:r w:rsidRPr="009F3948">
        <w:rPr>
          <w:b/>
          <w:sz w:val="21"/>
          <w:szCs w:val="21"/>
        </w:rPr>
        <w:t>Statement concerning the authenticity of authorship.</w:t>
      </w:r>
    </w:p>
    <w:p w14:paraId="0B865CCD" w14:textId="77777777" w:rsidR="009F3948" w:rsidRPr="009F3948" w:rsidRDefault="009F3948" w:rsidP="009F3948">
      <w:pPr>
        <w:widowControl w:val="0"/>
        <w:autoSpaceDE w:val="0"/>
        <w:autoSpaceDN w:val="0"/>
        <w:adjustRightInd w:val="0"/>
        <w:jc w:val="center"/>
        <w:rPr>
          <w:b/>
          <w:sz w:val="28"/>
          <w:szCs w:val="28"/>
        </w:rPr>
      </w:pPr>
    </w:p>
    <w:p w14:paraId="7F943069" w14:textId="56A05F17" w:rsidR="009F3948" w:rsidRPr="009F3948" w:rsidRDefault="009F3948" w:rsidP="009F3948">
      <w:pPr>
        <w:widowControl w:val="0"/>
        <w:autoSpaceDE w:val="0"/>
        <w:autoSpaceDN w:val="0"/>
        <w:adjustRightInd w:val="0"/>
        <w:rPr>
          <w:sz w:val="21"/>
          <w:szCs w:val="21"/>
        </w:rPr>
      </w:pPr>
      <w:r w:rsidRPr="009F3948">
        <w:rPr>
          <w:sz w:val="21"/>
          <w:szCs w:val="21"/>
        </w:rPr>
        <w:t>Please place the statement below</w:t>
      </w:r>
      <w:r>
        <w:rPr>
          <w:sz w:val="21"/>
          <w:szCs w:val="21"/>
        </w:rPr>
        <w:t xml:space="preserve">—without the quotation marks—at </w:t>
      </w:r>
      <w:bookmarkStart w:id="0" w:name="_GoBack"/>
      <w:bookmarkEnd w:id="0"/>
      <w:r w:rsidRPr="009F3948">
        <w:rPr>
          <w:sz w:val="21"/>
          <w:szCs w:val="21"/>
        </w:rPr>
        <w:t>the beginning or the end of your paper and attach an electronic signature.</w:t>
      </w:r>
    </w:p>
    <w:p w14:paraId="199B56E9" w14:textId="77777777" w:rsidR="009F3948" w:rsidRPr="009F3948" w:rsidRDefault="009F3948" w:rsidP="009F3948">
      <w:pPr>
        <w:widowControl w:val="0"/>
        <w:autoSpaceDE w:val="0"/>
        <w:autoSpaceDN w:val="0"/>
        <w:adjustRightInd w:val="0"/>
        <w:rPr>
          <w:sz w:val="21"/>
          <w:szCs w:val="21"/>
        </w:rPr>
      </w:pPr>
    </w:p>
    <w:p w14:paraId="482B73B1" w14:textId="032B235F" w:rsidR="009F3948" w:rsidRPr="009F3948" w:rsidRDefault="009F3948" w:rsidP="009F3948">
      <w:pPr>
        <w:widowControl w:val="0"/>
        <w:autoSpaceDE w:val="0"/>
        <w:autoSpaceDN w:val="0"/>
        <w:adjustRightInd w:val="0"/>
        <w:rPr>
          <w:color w:val="000000" w:themeColor="text1"/>
          <w:sz w:val="21"/>
          <w:szCs w:val="21"/>
        </w:rPr>
      </w:pPr>
      <w:r w:rsidRPr="009F3948">
        <w:rPr>
          <w:color w:val="000000" w:themeColor="text1"/>
          <w:sz w:val="21"/>
          <w:szCs w:val="21"/>
        </w:rPr>
        <w:t>“</w:t>
      </w:r>
      <w:r w:rsidRPr="009F3948">
        <w:rPr>
          <w:color w:val="000000" w:themeColor="text1"/>
          <w:sz w:val="21"/>
          <w:szCs w:val="21"/>
        </w:rPr>
        <w:t>This assignment is entirely my own work. Quotations from secondary literature are indicated by the use of</w:t>
      </w:r>
      <w:r w:rsidRPr="009F3948">
        <w:rPr>
          <w:color w:val="000000" w:themeColor="text1"/>
          <w:sz w:val="21"/>
          <w:szCs w:val="21"/>
        </w:rPr>
        <w:t xml:space="preserve"> </w:t>
      </w:r>
      <w:r w:rsidRPr="009F3948">
        <w:rPr>
          <w:color w:val="000000" w:themeColor="text1"/>
          <w:sz w:val="21"/>
          <w:szCs w:val="21"/>
        </w:rPr>
        <w:t>quotation marks around ALL such quotations AND by reference in the text or notes to the author concerned.  ALL primary and secondary literature used in this piece of work is indicated in the bibliography placed at the end, and dependence upon ANY source used is indicated at the appropriate point in the text.  I confirm that no sources have been used other than those stated.</w:t>
      </w:r>
    </w:p>
    <w:p w14:paraId="436C2608" w14:textId="2A0AAC87" w:rsidR="009F3948" w:rsidRPr="009F3948" w:rsidRDefault="009F3948" w:rsidP="009F3948">
      <w:pPr>
        <w:rPr>
          <w:sz w:val="21"/>
          <w:szCs w:val="21"/>
        </w:rPr>
      </w:pPr>
      <w:r w:rsidRPr="009F3948">
        <w:rPr>
          <w:color w:val="000000" w:themeColor="text1"/>
          <w:sz w:val="21"/>
          <w:szCs w:val="21"/>
        </w:rPr>
        <w:t>I understand what is meant by plagiarism and have signed at the time of my enrollment in the Croft Institute the declaration concerning academic conduct and discipline described in Policy Code ACA.AR.600.001 and also available in the </w:t>
      </w:r>
      <w:r w:rsidRPr="009F3948">
        <w:rPr>
          <w:i/>
          <w:iCs/>
          <w:color w:val="000000" w:themeColor="text1"/>
          <w:sz w:val="21"/>
          <w:szCs w:val="21"/>
        </w:rPr>
        <w:t>M Book.</w:t>
      </w:r>
      <w:r w:rsidRPr="009F3948">
        <w:rPr>
          <w:i/>
          <w:iCs/>
          <w:color w:val="000000" w:themeColor="text1"/>
          <w:sz w:val="21"/>
          <w:szCs w:val="21"/>
        </w:rPr>
        <w:t xml:space="preserve"> </w:t>
      </w:r>
      <w:r w:rsidRPr="009F3948">
        <w:rPr>
          <w:color w:val="000000" w:themeColor="text1"/>
          <w:sz w:val="21"/>
          <w:szCs w:val="21"/>
        </w:rPr>
        <w:t xml:space="preserve"> I understand that plagiarism is a </w:t>
      </w:r>
      <w:r w:rsidRPr="009F3948">
        <w:rPr>
          <w:color w:val="000000" w:themeColor="text1"/>
          <w:sz w:val="21"/>
          <w:szCs w:val="21"/>
        </w:rPr>
        <w:t>serious offense</w:t>
      </w:r>
      <w:r w:rsidRPr="009F3948">
        <w:rPr>
          <w:color w:val="000000" w:themeColor="text1"/>
          <w:sz w:val="21"/>
          <w:szCs w:val="21"/>
        </w:rPr>
        <w:t> that may result in disciplinary action being taken.”</w:t>
      </w:r>
    </w:p>
    <w:p w14:paraId="5878A3C6" w14:textId="77777777" w:rsidR="005678BE" w:rsidRPr="007A53F4" w:rsidRDefault="005678BE" w:rsidP="005678BE">
      <w:pPr>
        <w:jc w:val="center"/>
      </w:pPr>
    </w:p>
    <w:p w14:paraId="272FDA38" w14:textId="77777777" w:rsidR="005678BE" w:rsidRDefault="005678BE" w:rsidP="005678BE"/>
    <w:p w14:paraId="27F7BFBD" w14:textId="77777777" w:rsidR="009355F2" w:rsidRPr="007A53F4" w:rsidRDefault="009355F2" w:rsidP="009355F2"/>
    <w:sectPr w:rsidR="009355F2" w:rsidRPr="007A53F4" w:rsidSect="00DC536A">
      <w:headerReference w:type="default" r:id="rId10"/>
      <w:footerReference w:type="even" r:id="rId11"/>
      <w:footerReference w:type="default" r:id="rId12"/>
      <w:pgSz w:w="12240" w:h="15840"/>
      <w:pgMar w:top="1008" w:right="1296" w:bottom="1008" w:left="1296"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678699" w14:textId="77777777" w:rsidR="000364DA" w:rsidRDefault="000364DA">
      <w:r>
        <w:separator/>
      </w:r>
    </w:p>
  </w:endnote>
  <w:endnote w:type="continuationSeparator" w:id="0">
    <w:p w14:paraId="0982CF89" w14:textId="77777777" w:rsidR="000364DA" w:rsidRDefault="000364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75048C" w14:textId="77777777" w:rsidR="00AB343E" w:rsidRDefault="00AB343E" w:rsidP="004D69C6">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73C56EF" w14:textId="77777777" w:rsidR="00AB343E" w:rsidRDefault="00AB343E">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74C3D2" w14:textId="77777777" w:rsidR="004D69C6" w:rsidRDefault="004D69C6" w:rsidP="00880210">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F3948">
      <w:rPr>
        <w:rStyle w:val="PageNumber"/>
        <w:noProof/>
      </w:rPr>
      <w:t>4</w:t>
    </w:r>
    <w:r>
      <w:rPr>
        <w:rStyle w:val="PageNumber"/>
      </w:rPr>
      <w:fldChar w:fldCharType="end"/>
    </w:r>
  </w:p>
  <w:p w14:paraId="6553059F" w14:textId="77777777" w:rsidR="00AB343E" w:rsidRDefault="00AB343E" w:rsidP="000E3E00">
    <w:pPr>
      <w:pStyle w:val="Footer"/>
      <w:jc w:val="cen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731DCB" w14:textId="77777777" w:rsidR="000364DA" w:rsidRDefault="000364DA">
      <w:r>
        <w:separator/>
      </w:r>
    </w:p>
  </w:footnote>
  <w:footnote w:type="continuationSeparator" w:id="0">
    <w:p w14:paraId="31CC7529" w14:textId="77777777" w:rsidR="000364DA" w:rsidRDefault="000364D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CCC4A4" w14:textId="6246F59E" w:rsidR="00AB343E" w:rsidRPr="00BC1180" w:rsidRDefault="00AB343E">
    <w:pPr>
      <w:pStyle w:val="Header"/>
      <w:rPr>
        <w:b/>
      </w:rPr>
    </w:pPr>
    <w:r w:rsidRPr="00BC1180">
      <w:rPr>
        <w:b/>
      </w:rPr>
      <w:t xml:space="preserve">INST 205                                                                                                        </w:t>
    </w:r>
    <w:r w:rsidR="004818D1">
      <w:rPr>
        <w:b/>
      </w:rPr>
      <w:t xml:space="preserve">                   Fall </w:t>
    </w:r>
    <w:r w:rsidR="00807777">
      <w:rPr>
        <w:b/>
      </w:rPr>
      <w:t>2016</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3AF654B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3807500"/>
    <w:multiLevelType w:val="hybridMultilevel"/>
    <w:tmpl w:val="80944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A4976E6"/>
    <w:multiLevelType w:val="hybridMultilevel"/>
    <w:tmpl w:val="3B906564"/>
    <w:lvl w:ilvl="0" w:tplc="043EFD6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AC21910"/>
    <w:multiLevelType w:val="hybridMultilevel"/>
    <w:tmpl w:val="7B583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0B63771"/>
    <w:multiLevelType w:val="hybridMultilevel"/>
    <w:tmpl w:val="661E1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3640B72"/>
    <w:multiLevelType w:val="hybridMultilevel"/>
    <w:tmpl w:val="B13CE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7FD728A"/>
    <w:multiLevelType w:val="hybridMultilevel"/>
    <w:tmpl w:val="06541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num w:numId="1">
    <w:abstractNumId w:val="2"/>
  </w:num>
  <w:num w:numId="2">
    <w:abstractNumId w:val="0"/>
  </w:num>
  <w:num w:numId="3">
    <w:abstractNumId w:val="6"/>
  </w:num>
  <w:num w:numId="4">
    <w:abstractNumId w:val="3"/>
  </w:num>
  <w:num w:numId="5">
    <w:abstractNumId w:val="4"/>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80"/>
  <w:displayBackgroundShape/>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2A1C"/>
    <w:rsid w:val="000167B2"/>
    <w:rsid w:val="0002012B"/>
    <w:rsid w:val="000364DA"/>
    <w:rsid w:val="0005176F"/>
    <w:rsid w:val="0005665C"/>
    <w:rsid w:val="0006370B"/>
    <w:rsid w:val="000640D7"/>
    <w:rsid w:val="00065004"/>
    <w:rsid w:val="00084D29"/>
    <w:rsid w:val="00090603"/>
    <w:rsid w:val="0009245A"/>
    <w:rsid w:val="000A5BB9"/>
    <w:rsid w:val="000B1744"/>
    <w:rsid w:val="000C20BA"/>
    <w:rsid w:val="000C3D5A"/>
    <w:rsid w:val="000D40C9"/>
    <w:rsid w:val="000E1ABF"/>
    <w:rsid w:val="000E3E00"/>
    <w:rsid w:val="000E54D7"/>
    <w:rsid w:val="001103D8"/>
    <w:rsid w:val="00121F1F"/>
    <w:rsid w:val="00122A1C"/>
    <w:rsid w:val="00124C05"/>
    <w:rsid w:val="00125DE7"/>
    <w:rsid w:val="00134096"/>
    <w:rsid w:val="00157189"/>
    <w:rsid w:val="00160903"/>
    <w:rsid w:val="00175F9A"/>
    <w:rsid w:val="001B4B99"/>
    <w:rsid w:val="001B4EB0"/>
    <w:rsid w:val="001C36F1"/>
    <w:rsid w:val="001D3D6B"/>
    <w:rsid w:val="001E40F6"/>
    <w:rsid w:val="00201780"/>
    <w:rsid w:val="00201E48"/>
    <w:rsid w:val="002021C1"/>
    <w:rsid w:val="00216240"/>
    <w:rsid w:val="00231141"/>
    <w:rsid w:val="00232C4D"/>
    <w:rsid w:val="00237FF5"/>
    <w:rsid w:val="00253EDB"/>
    <w:rsid w:val="00267296"/>
    <w:rsid w:val="0028248D"/>
    <w:rsid w:val="0029047B"/>
    <w:rsid w:val="002959E7"/>
    <w:rsid w:val="002964CF"/>
    <w:rsid w:val="002A186C"/>
    <w:rsid w:val="002C16C0"/>
    <w:rsid w:val="002C19BE"/>
    <w:rsid w:val="002D5A2C"/>
    <w:rsid w:val="002E13AC"/>
    <w:rsid w:val="002E458D"/>
    <w:rsid w:val="0030429A"/>
    <w:rsid w:val="0031068C"/>
    <w:rsid w:val="00311015"/>
    <w:rsid w:val="00313D62"/>
    <w:rsid w:val="00317E56"/>
    <w:rsid w:val="00333EBC"/>
    <w:rsid w:val="00336EF3"/>
    <w:rsid w:val="00340512"/>
    <w:rsid w:val="00347381"/>
    <w:rsid w:val="00366043"/>
    <w:rsid w:val="00371950"/>
    <w:rsid w:val="00380D82"/>
    <w:rsid w:val="003865F9"/>
    <w:rsid w:val="00395161"/>
    <w:rsid w:val="00395393"/>
    <w:rsid w:val="00397600"/>
    <w:rsid w:val="003A3A18"/>
    <w:rsid w:val="003B60EE"/>
    <w:rsid w:val="003C034B"/>
    <w:rsid w:val="003C1CFA"/>
    <w:rsid w:val="003E40B4"/>
    <w:rsid w:val="003F08A8"/>
    <w:rsid w:val="004120DC"/>
    <w:rsid w:val="004133D0"/>
    <w:rsid w:val="0041506A"/>
    <w:rsid w:val="00451A9E"/>
    <w:rsid w:val="004530F3"/>
    <w:rsid w:val="004818D1"/>
    <w:rsid w:val="0048538D"/>
    <w:rsid w:val="00492DB7"/>
    <w:rsid w:val="004A0EAA"/>
    <w:rsid w:val="004C3622"/>
    <w:rsid w:val="004C6671"/>
    <w:rsid w:val="004D69C6"/>
    <w:rsid w:val="004D7499"/>
    <w:rsid w:val="004E2A13"/>
    <w:rsid w:val="004E2EC0"/>
    <w:rsid w:val="004E53A8"/>
    <w:rsid w:val="004E5B05"/>
    <w:rsid w:val="004F75D4"/>
    <w:rsid w:val="005128B3"/>
    <w:rsid w:val="005162A9"/>
    <w:rsid w:val="0051677D"/>
    <w:rsid w:val="005247AD"/>
    <w:rsid w:val="0054068D"/>
    <w:rsid w:val="00541777"/>
    <w:rsid w:val="005437C6"/>
    <w:rsid w:val="005524E0"/>
    <w:rsid w:val="005553C4"/>
    <w:rsid w:val="00562917"/>
    <w:rsid w:val="005678BE"/>
    <w:rsid w:val="00570055"/>
    <w:rsid w:val="005710BC"/>
    <w:rsid w:val="00597C11"/>
    <w:rsid w:val="005A4BBA"/>
    <w:rsid w:val="005B2DAD"/>
    <w:rsid w:val="005C4ABB"/>
    <w:rsid w:val="005C52E6"/>
    <w:rsid w:val="005D0139"/>
    <w:rsid w:val="005E28E5"/>
    <w:rsid w:val="005E2CB6"/>
    <w:rsid w:val="005F1D5A"/>
    <w:rsid w:val="006056E4"/>
    <w:rsid w:val="00615045"/>
    <w:rsid w:val="0062079A"/>
    <w:rsid w:val="0063796B"/>
    <w:rsid w:val="00644EF9"/>
    <w:rsid w:val="00647599"/>
    <w:rsid w:val="00684525"/>
    <w:rsid w:val="006A51A6"/>
    <w:rsid w:val="006B6B7C"/>
    <w:rsid w:val="006D212D"/>
    <w:rsid w:val="006D53CB"/>
    <w:rsid w:val="006D6A7D"/>
    <w:rsid w:val="007064A7"/>
    <w:rsid w:val="00713811"/>
    <w:rsid w:val="00730C2A"/>
    <w:rsid w:val="007552FC"/>
    <w:rsid w:val="00762562"/>
    <w:rsid w:val="00775DCE"/>
    <w:rsid w:val="00780D18"/>
    <w:rsid w:val="0079358E"/>
    <w:rsid w:val="007B6CEA"/>
    <w:rsid w:val="007C5CC9"/>
    <w:rsid w:val="007E4290"/>
    <w:rsid w:val="007F719D"/>
    <w:rsid w:val="00806BB0"/>
    <w:rsid w:val="00807777"/>
    <w:rsid w:val="00821795"/>
    <w:rsid w:val="00840896"/>
    <w:rsid w:val="00840A82"/>
    <w:rsid w:val="0087436B"/>
    <w:rsid w:val="00883640"/>
    <w:rsid w:val="00885671"/>
    <w:rsid w:val="00895EA7"/>
    <w:rsid w:val="008B01A3"/>
    <w:rsid w:val="008D52E6"/>
    <w:rsid w:val="008D7AD0"/>
    <w:rsid w:val="008E1F46"/>
    <w:rsid w:val="008E570E"/>
    <w:rsid w:val="008F3124"/>
    <w:rsid w:val="00902829"/>
    <w:rsid w:val="00902B4E"/>
    <w:rsid w:val="0091161E"/>
    <w:rsid w:val="009355F2"/>
    <w:rsid w:val="009357A6"/>
    <w:rsid w:val="00935E34"/>
    <w:rsid w:val="009466CE"/>
    <w:rsid w:val="009500A9"/>
    <w:rsid w:val="009500ED"/>
    <w:rsid w:val="0095387E"/>
    <w:rsid w:val="009764AE"/>
    <w:rsid w:val="00984C79"/>
    <w:rsid w:val="009857D6"/>
    <w:rsid w:val="00992637"/>
    <w:rsid w:val="009A41EA"/>
    <w:rsid w:val="009C131C"/>
    <w:rsid w:val="009D318B"/>
    <w:rsid w:val="009D50A8"/>
    <w:rsid w:val="009E4F57"/>
    <w:rsid w:val="009F3948"/>
    <w:rsid w:val="009F4FD1"/>
    <w:rsid w:val="00A01E18"/>
    <w:rsid w:val="00A0354B"/>
    <w:rsid w:val="00A116CF"/>
    <w:rsid w:val="00A11B5D"/>
    <w:rsid w:val="00A1272F"/>
    <w:rsid w:val="00A2199D"/>
    <w:rsid w:val="00A31F83"/>
    <w:rsid w:val="00A4234D"/>
    <w:rsid w:val="00A45E18"/>
    <w:rsid w:val="00A55A30"/>
    <w:rsid w:val="00A71372"/>
    <w:rsid w:val="00A765AD"/>
    <w:rsid w:val="00A82EB5"/>
    <w:rsid w:val="00A90ADF"/>
    <w:rsid w:val="00AA03BB"/>
    <w:rsid w:val="00AB343E"/>
    <w:rsid w:val="00AC2A6D"/>
    <w:rsid w:val="00AD0121"/>
    <w:rsid w:val="00AD5589"/>
    <w:rsid w:val="00AF6919"/>
    <w:rsid w:val="00B07F38"/>
    <w:rsid w:val="00B124DF"/>
    <w:rsid w:val="00B21594"/>
    <w:rsid w:val="00B2557A"/>
    <w:rsid w:val="00B27DA1"/>
    <w:rsid w:val="00B34CA1"/>
    <w:rsid w:val="00B45361"/>
    <w:rsid w:val="00B536D5"/>
    <w:rsid w:val="00B55C39"/>
    <w:rsid w:val="00B73157"/>
    <w:rsid w:val="00B74C61"/>
    <w:rsid w:val="00B7603D"/>
    <w:rsid w:val="00B83E99"/>
    <w:rsid w:val="00B86334"/>
    <w:rsid w:val="00B93100"/>
    <w:rsid w:val="00B97764"/>
    <w:rsid w:val="00BA2D5E"/>
    <w:rsid w:val="00BB49AF"/>
    <w:rsid w:val="00BC037E"/>
    <w:rsid w:val="00BC5564"/>
    <w:rsid w:val="00BC7185"/>
    <w:rsid w:val="00BD5292"/>
    <w:rsid w:val="00BE065C"/>
    <w:rsid w:val="00BE3DCD"/>
    <w:rsid w:val="00BE4FE9"/>
    <w:rsid w:val="00BF5704"/>
    <w:rsid w:val="00BF5D55"/>
    <w:rsid w:val="00BF6528"/>
    <w:rsid w:val="00C021C3"/>
    <w:rsid w:val="00C0426B"/>
    <w:rsid w:val="00C10425"/>
    <w:rsid w:val="00C44E91"/>
    <w:rsid w:val="00C54124"/>
    <w:rsid w:val="00C619D6"/>
    <w:rsid w:val="00C62F1D"/>
    <w:rsid w:val="00C71EF5"/>
    <w:rsid w:val="00C77A0F"/>
    <w:rsid w:val="00C805D0"/>
    <w:rsid w:val="00CA169B"/>
    <w:rsid w:val="00CA19EA"/>
    <w:rsid w:val="00CA1A8E"/>
    <w:rsid w:val="00CC0F8F"/>
    <w:rsid w:val="00CC58B8"/>
    <w:rsid w:val="00CD07C2"/>
    <w:rsid w:val="00CD4A5E"/>
    <w:rsid w:val="00CE2FC7"/>
    <w:rsid w:val="00CF0481"/>
    <w:rsid w:val="00D01FBC"/>
    <w:rsid w:val="00D02EA9"/>
    <w:rsid w:val="00D0388D"/>
    <w:rsid w:val="00D1141C"/>
    <w:rsid w:val="00D20066"/>
    <w:rsid w:val="00D3164E"/>
    <w:rsid w:val="00D3466E"/>
    <w:rsid w:val="00D539A1"/>
    <w:rsid w:val="00D65FBD"/>
    <w:rsid w:val="00D74B65"/>
    <w:rsid w:val="00D7776D"/>
    <w:rsid w:val="00D87059"/>
    <w:rsid w:val="00DA6DF0"/>
    <w:rsid w:val="00DC536A"/>
    <w:rsid w:val="00DD13E4"/>
    <w:rsid w:val="00DD3F1C"/>
    <w:rsid w:val="00DE626C"/>
    <w:rsid w:val="00DF228D"/>
    <w:rsid w:val="00DF3247"/>
    <w:rsid w:val="00DF6EE0"/>
    <w:rsid w:val="00E039E5"/>
    <w:rsid w:val="00E0510C"/>
    <w:rsid w:val="00E05732"/>
    <w:rsid w:val="00E1103D"/>
    <w:rsid w:val="00E15D94"/>
    <w:rsid w:val="00E446EC"/>
    <w:rsid w:val="00E53DBB"/>
    <w:rsid w:val="00E6300B"/>
    <w:rsid w:val="00E67363"/>
    <w:rsid w:val="00E771FE"/>
    <w:rsid w:val="00E92667"/>
    <w:rsid w:val="00EB3BF2"/>
    <w:rsid w:val="00EC4F5F"/>
    <w:rsid w:val="00ED5AEC"/>
    <w:rsid w:val="00EE5DC4"/>
    <w:rsid w:val="00EF6143"/>
    <w:rsid w:val="00EF63AD"/>
    <w:rsid w:val="00F0335D"/>
    <w:rsid w:val="00F06AD2"/>
    <w:rsid w:val="00F1660F"/>
    <w:rsid w:val="00F20CB4"/>
    <w:rsid w:val="00F219DB"/>
    <w:rsid w:val="00F21D73"/>
    <w:rsid w:val="00F40652"/>
    <w:rsid w:val="00F41964"/>
    <w:rsid w:val="00F42F5D"/>
    <w:rsid w:val="00F547E7"/>
    <w:rsid w:val="00F64B3E"/>
    <w:rsid w:val="00F95439"/>
    <w:rsid w:val="00F95757"/>
    <w:rsid w:val="00FA12C9"/>
    <w:rsid w:val="00FA4566"/>
    <w:rsid w:val="00FB47EF"/>
    <w:rsid w:val="00FC1A6E"/>
    <w:rsid w:val="00FC515E"/>
    <w:rsid w:val="00FD1A46"/>
    <w:rsid w:val="00FD7E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673B88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282ED7"/>
    <w:rPr>
      <w:sz w:val="24"/>
      <w:szCs w:val="24"/>
    </w:rPr>
  </w:style>
  <w:style w:type="paragraph" w:styleId="Heading2">
    <w:name w:val="heading 2"/>
    <w:basedOn w:val="Normal"/>
    <w:next w:val="Normal"/>
    <w:qFormat/>
    <w:rsid w:val="00C14BEF"/>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22A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BC1180"/>
    <w:pPr>
      <w:tabs>
        <w:tab w:val="center" w:pos="4320"/>
        <w:tab w:val="right" w:pos="8640"/>
      </w:tabs>
    </w:pPr>
  </w:style>
  <w:style w:type="paragraph" w:styleId="Footer">
    <w:name w:val="footer"/>
    <w:basedOn w:val="Normal"/>
    <w:rsid w:val="00BC1180"/>
    <w:pPr>
      <w:tabs>
        <w:tab w:val="center" w:pos="4320"/>
        <w:tab w:val="right" w:pos="8640"/>
      </w:tabs>
    </w:pPr>
  </w:style>
  <w:style w:type="character" w:styleId="Hyperlink">
    <w:name w:val="Hyperlink"/>
    <w:basedOn w:val="DefaultParagraphFont"/>
    <w:rsid w:val="00BC1180"/>
    <w:rPr>
      <w:color w:val="0000FF"/>
      <w:u w:val="single"/>
    </w:rPr>
  </w:style>
  <w:style w:type="character" w:styleId="PageNumber">
    <w:name w:val="page number"/>
    <w:basedOn w:val="DefaultParagraphFont"/>
    <w:rsid w:val="00A4391F"/>
  </w:style>
  <w:style w:type="paragraph" w:styleId="BalloonText">
    <w:name w:val="Balloon Text"/>
    <w:basedOn w:val="Normal"/>
    <w:semiHidden/>
    <w:rsid w:val="009F1B71"/>
    <w:rPr>
      <w:rFonts w:ascii="Tahoma" w:hAnsi="Tahoma" w:cs="Tahoma"/>
      <w:sz w:val="16"/>
      <w:szCs w:val="16"/>
    </w:rPr>
  </w:style>
  <w:style w:type="paragraph" w:styleId="ListParagraph">
    <w:name w:val="List Paragraph"/>
    <w:basedOn w:val="Normal"/>
    <w:uiPriority w:val="72"/>
    <w:rsid w:val="00BF5D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gispen@olemiss.edu" TargetMode="External"/><Relationship Id="rId8" Type="http://schemas.openxmlformats.org/officeDocument/2006/relationships/hyperlink" Target="https://www.equalityhumanrights.com/en/publication-download/healing-divided-britain-need-comprehensive-race-equality-strategy" TargetMode="External"/><Relationship Id="rId9" Type="http://schemas.openxmlformats.org/officeDocument/2006/relationships/hyperlink" Target="https://helda.helsinki.fi/handle/10138/29256" TargetMode="Externa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462</TotalTime>
  <Pages>4</Pages>
  <Words>1811</Words>
  <Characters>10323</Characters>
  <Application>Microsoft Macintosh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Preliminary schedule INST 205 Fall 2005</vt:lpstr>
    </vt:vector>
  </TitlesOfParts>
  <Manager/>
  <Company>University of Mississippi</Company>
  <LinksUpToDate>false</LinksUpToDate>
  <CharactersWithSpaces>12110</CharactersWithSpaces>
  <SharedDoc>false</SharedDoc>
  <HyperlinkBase/>
  <HLinks>
    <vt:vector size="12" baseType="variant">
      <vt:variant>
        <vt:i4>7012413</vt:i4>
      </vt:variant>
      <vt:variant>
        <vt:i4>3</vt:i4>
      </vt:variant>
      <vt:variant>
        <vt:i4>0</vt:i4>
      </vt:variant>
      <vt:variant>
        <vt:i4>5</vt:i4>
      </vt:variant>
      <vt:variant>
        <vt:lpwstr>mailto:gispen@olemiss.edu</vt:lpwstr>
      </vt:variant>
      <vt:variant>
        <vt:lpwstr/>
      </vt:variant>
      <vt:variant>
        <vt:i4>7209051</vt:i4>
      </vt:variant>
      <vt:variant>
        <vt:i4>0</vt:i4>
      </vt:variant>
      <vt:variant>
        <vt:i4>0</vt:i4>
      </vt:variant>
      <vt:variant>
        <vt:i4>5</vt:i4>
      </vt:variant>
      <vt:variant>
        <vt:lpwstr>mailto:acooper@olemiss.edu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Preliminary schedule INST 205 Fall 2005</dc:title>
  <dc:subject/>
  <dc:creator>Kees Gispen</dc:creator>
  <cp:keywords/>
  <dc:description/>
  <cp:lastModifiedBy>Cornelis Gispen</cp:lastModifiedBy>
  <cp:revision>31</cp:revision>
  <cp:lastPrinted>2016-08-19T22:15:00Z</cp:lastPrinted>
  <dcterms:created xsi:type="dcterms:W3CDTF">2015-01-22T03:30:00Z</dcterms:created>
  <dcterms:modified xsi:type="dcterms:W3CDTF">2016-08-22T18:14:00Z</dcterms:modified>
  <cp:category/>
</cp:coreProperties>
</file>